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FCF8" w14:textId="6CCC1E25" w:rsidR="006638D2" w:rsidRDefault="00EE062C" w:rsidP="005F7B50">
      <w:pPr>
        <w:jc w:val="both"/>
      </w:pPr>
      <w:r>
        <w:t>IPF STRATEGIC</w:t>
      </w:r>
      <w:r w:rsidR="0096058A">
        <w:t xml:space="preserve"> PLAN 2024-2028. </w:t>
      </w:r>
    </w:p>
    <w:sdt>
      <w:sdtPr>
        <w:rPr>
          <w:rFonts w:asciiTheme="minorHAnsi" w:eastAsiaTheme="minorHAnsi" w:hAnsiTheme="minorHAnsi" w:cstheme="minorBidi"/>
          <w:color w:val="auto"/>
          <w:kern w:val="2"/>
          <w:sz w:val="22"/>
          <w:szCs w:val="22"/>
          <w:lang w:val="en-IN"/>
          <w14:ligatures w14:val="standardContextual"/>
        </w:rPr>
        <w:id w:val="-74063098"/>
        <w:docPartObj>
          <w:docPartGallery w:val="Table of Contents"/>
          <w:docPartUnique/>
        </w:docPartObj>
      </w:sdtPr>
      <w:sdtEndPr>
        <w:rPr>
          <w:b/>
          <w:bCs/>
          <w:noProof/>
        </w:rPr>
      </w:sdtEndPr>
      <w:sdtContent>
        <w:p w14:paraId="69E2007C" w14:textId="3B35342C" w:rsidR="00963044" w:rsidRDefault="00963044" w:rsidP="005F7B50">
          <w:pPr>
            <w:pStyle w:val="TOCHeading"/>
            <w:jc w:val="both"/>
          </w:pPr>
          <w:r>
            <w:t>Contents</w:t>
          </w:r>
        </w:p>
        <w:p w14:paraId="39E8D981" w14:textId="785D3AED" w:rsidR="00201B3C" w:rsidRDefault="00963044" w:rsidP="005F7B50">
          <w:pPr>
            <w:pStyle w:val="TOC1"/>
            <w:jc w:val="both"/>
            <w:rPr>
              <w:rFonts w:eastAsiaTheme="minorEastAsia"/>
              <w:noProof/>
              <w:lang w:eastAsia="en-IN"/>
            </w:rPr>
          </w:pPr>
          <w:r>
            <w:fldChar w:fldCharType="begin"/>
          </w:r>
          <w:r>
            <w:instrText xml:space="preserve"> TOC \o "1-3" \h \z \u </w:instrText>
          </w:r>
          <w:r>
            <w:fldChar w:fldCharType="separate"/>
          </w:r>
          <w:hyperlink w:anchor="_Toc149824892" w:history="1">
            <w:r w:rsidR="00201B3C" w:rsidRPr="00B272E9">
              <w:rPr>
                <w:rStyle w:val="Hyperlink"/>
                <w:noProof/>
              </w:rPr>
              <w:t>1.</w:t>
            </w:r>
            <w:r w:rsidR="00201B3C">
              <w:rPr>
                <w:rFonts w:eastAsiaTheme="minorEastAsia"/>
                <w:noProof/>
                <w:lang w:eastAsia="en-IN"/>
              </w:rPr>
              <w:tab/>
            </w:r>
            <w:r w:rsidR="00201B3C" w:rsidRPr="00B272E9">
              <w:rPr>
                <w:rStyle w:val="Hyperlink"/>
                <w:noProof/>
              </w:rPr>
              <w:t>Who is IPF?</w:t>
            </w:r>
            <w:r w:rsidR="00201B3C">
              <w:rPr>
                <w:noProof/>
                <w:webHidden/>
              </w:rPr>
              <w:tab/>
            </w:r>
            <w:r w:rsidR="00201B3C">
              <w:rPr>
                <w:noProof/>
                <w:webHidden/>
              </w:rPr>
              <w:fldChar w:fldCharType="begin"/>
            </w:r>
            <w:r w:rsidR="00201B3C">
              <w:rPr>
                <w:noProof/>
                <w:webHidden/>
              </w:rPr>
              <w:instrText xml:space="preserve"> PAGEREF _Toc149824892 \h </w:instrText>
            </w:r>
            <w:r w:rsidR="00201B3C">
              <w:rPr>
                <w:noProof/>
                <w:webHidden/>
              </w:rPr>
            </w:r>
            <w:r w:rsidR="00201B3C">
              <w:rPr>
                <w:noProof/>
                <w:webHidden/>
              </w:rPr>
              <w:fldChar w:fldCharType="separate"/>
            </w:r>
            <w:r w:rsidR="00201B3C">
              <w:rPr>
                <w:noProof/>
                <w:webHidden/>
              </w:rPr>
              <w:t>1</w:t>
            </w:r>
            <w:r w:rsidR="00201B3C">
              <w:rPr>
                <w:noProof/>
                <w:webHidden/>
              </w:rPr>
              <w:fldChar w:fldCharType="end"/>
            </w:r>
          </w:hyperlink>
        </w:p>
        <w:p w14:paraId="34ECFCA9" w14:textId="7D58FC26" w:rsidR="00201B3C" w:rsidRDefault="00A011C4" w:rsidP="005F7B50">
          <w:pPr>
            <w:pStyle w:val="TOC1"/>
            <w:jc w:val="both"/>
            <w:rPr>
              <w:rFonts w:eastAsiaTheme="minorEastAsia"/>
              <w:noProof/>
              <w:lang w:eastAsia="en-IN"/>
            </w:rPr>
          </w:pPr>
          <w:hyperlink w:anchor="_Toc149824893" w:history="1">
            <w:r w:rsidR="00201B3C" w:rsidRPr="00B272E9">
              <w:rPr>
                <w:rStyle w:val="Hyperlink"/>
                <w:noProof/>
              </w:rPr>
              <w:t>2.</w:t>
            </w:r>
            <w:r w:rsidR="00201B3C">
              <w:rPr>
                <w:rFonts w:eastAsiaTheme="minorEastAsia"/>
                <w:noProof/>
                <w:lang w:eastAsia="en-IN"/>
              </w:rPr>
              <w:tab/>
            </w:r>
            <w:r w:rsidR="00201B3C" w:rsidRPr="00B272E9">
              <w:rPr>
                <w:rStyle w:val="Hyperlink"/>
                <w:noProof/>
              </w:rPr>
              <w:t>What has IPF achieved during the past ten years?</w:t>
            </w:r>
            <w:r w:rsidR="00201B3C">
              <w:rPr>
                <w:noProof/>
                <w:webHidden/>
              </w:rPr>
              <w:tab/>
            </w:r>
            <w:r w:rsidR="00201B3C">
              <w:rPr>
                <w:noProof/>
                <w:webHidden/>
              </w:rPr>
              <w:fldChar w:fldCharType="begin"/>
            </w:r>
            <w:r w:rsidR="00201B3C">
              <w:rPr>
                <w:noProof/>
                <w:webHidden/>
              </w:rPr>
              <w:instrText xml:space="preserve"> PAGEREF _Toc149824893 \h </w:instrText>
            </w:r>
            <w:r w:rsidR="00201B3C">
              <w:rPr>
                <w:noProof/>
                <w:webHidden/>
              </w:rPr>
            </w:r>
            <w:r w:rsidR="00201B3C">
              <w:rPr>
                <w:noProof/>
                <w:webHidden/>
              </w:rPr>
              <w:fldChar w:fldCharType="separate"/>
            </w:r>
            <w:r w:rsidR="00201B3C">
              <w:rPr>
                <w:noProof/>
                <w:webHidden/>
              </w:rPr>
              <w:t>2</w:t>
            </w:r>
            <w:r w:rsidR="00201B3C">
              <w:rPr>
                <w:noProof/>
                <w:webHidden/>
              </w:rPr>
              <w:fldChar w:fldCharType="end"/>
            </w:r>
          </w:hyperlink>
        </w:p>
        <w:p w14:paraId="02A5AE39" w14:textId="2CE5EC6A" w:rsidR="00201B3C" w:rsidRDefault="00A011C4" w:rsidP="005F7B50">
          <w:pPr>
            <w:pStyle w:val="TOC1"/>
            <w:jc w:val="both"/>
            <w:rPr>
              <w:rFonts w:eastAsiaTheme="minorEastAsia"/>
              <w:noProof/>
              <w:lang w:eastAsia="en-IN"/>
            </w:rPr>
          </w:pPr>
          <w:hyperlink w:anchor="_Toc149824894" w:history="1">
            <w:r w:rsidR="00201B3C" w:rsidRPr="00B272E9">
              <w:rPr>
                <w:rStyle w:val="Hyperlink"/>
                <w:noProof/>
              </w:rPr>
              <w:t>3.</w:t>
            </w:r>
            <w:r w:rsidR="00201B3C">
              <w:rPr>
                <w:rFonts w:eastAsiaTheme="minorEastAsia"/>
                <w:noProof/>
                <w:lang w:eastAsia="en-IN"/>
              </w:rPr>
              <w:tab/>
            </w:r>
            <w:r w:rsidR="00201B3C" w:rsidRPr="00B272E9">
              <w:rPr>
                <w:rStyle w:val="Hyperlink"/>
                <w:noProof/>
              </w:rPr>
              <w:t>Where have we been less successful?</w:t>
            </w:r>
            <w:r w:rsidR="00201B3C">
              <w:rPr>
                <w:noProof/>
                <w:webHidden/>
              </w:rPr>
              <w:tab/>
            </w:r>
            <w:r w:rsidR="00201B3C">
              <w:rPr>
                <w:noProof/>
                <w:webHidden/>
              </w:rPr>
              <w:fldChar w:fldCharType="begin"/>
            </w:r>
            <w:r w:rsidR="00201B3C">
              <w:rPr>
                <w:noProof/>
                <w:webHidden/>
              </w:rPr>
              <w:instrText xml:space="preserve"> PAGEREF _Toc149824894 \h </w:instrText>
            </w:r>
            <w:r w:rsidR="00201B3C">
              <w:rPr>
                <w:noProof/>
                <w:webHidden/>
              </w:rPr>
            </w:r>
            <w:r w:rsidR="00201B3C">
              <w:rPr>
                <w:noProof/>
                <w:webHidden/>
              </w:rPr>
              <w:fldChar w:fldCharType="separate"/>
            </w:r>
            <w:r w:rsidR="00201B3C">
              <w:rPr>
                <w:noProof/>
                <w:webHidden/>
              </w:rPr>
              <w:t>4</w:t>
            </w:r>
            <w:r w:rsidR="00201B3C">
              <w:rPr>
                <w:noProof/>
                <w:webHidden/>
              </w:rPr>
              <w:fldChar w:fldCharType="end"/>
            </w:r>
          </w:hyperlink>
        </w:p>
        <w:p w14:paraId="2919777B" w14:textId="6A63C92C" w:rsidR="00201B3C" w:rsidRDefault="00A011C4" w:rsidP="005F7B50">
          <w:pPr>
            <w:pStyle w:val="TOC1"/>
            <w:jc w:val="both"/>
            <w:rPr>
              <w:rFonts w:eastAsiaTheme="minorEastAsia"/>
              <w:noProof/>
              <w:lang w:eastAsia="en-IN"/>
            </w:rPr>
          </w:pPr>
          <w:hyperlink w:anchor="_Toc149824895" w:history="1">
            <w:r w:rsidR="00201B3C" w:rsidRPr="00B272E9">
              <w:rPr>
                <w:rStyle w:val="Hyperlink"/>
                <w:noProof/>
                <w:lang w:val="en-US"/>
              </w:rPr>
              <w:t>4.</w:t>
            </w:r>
            <w:r w:rsidR="00201B3C">
              <w:rPr>
                <w:rFonts w:eastAsiaTheme="minorEastAsia"/>
                <w:noProof/>
                <w:lang w:eastAsia="en-IN"/>
              </w:rPr>
              <w:tab/>
            </w:r>
            <w:r w:rsidR="00201B3C" w:rsidRPr="00B272E9">
              <w:rPr>
                <w:rStyle w:val="Hyperlink"/>
                <w:noProof/>
                <w:lang w:val="en-US"/>
              </w:rPr>
              <w:t>How has our context changed?</w:t>
            </w:r>
            <w:r w:rsidR="00201B3C">
              <w:rPr>
                <w:noProof/>
                <w:webHidden/>
              </w:rPr>
              <w:tab/>
            </w:r>
            <w:r w:rsidR="00201B3C">
              <w:rPr>
                <w:noProof/>
                <w:webHidden/>
              </w:rPr>
              <w:fldChar w:fldCharType="begin"/>
            </w:r>
            <w:r w:rsidR="00201B3C">
              <w:rPr>
                <w:noProof/>
                <w:webHidden/>
              </w:rPr>
              <w:instrText xml:space="preserve"> PAGEREF _Toc149824895 \h </w:instrText>
            </w:r>
            <w:r w:rsidR="00201B3C">
              <w:rPr>
                <w:noProof/>
                <w:webHidden/>
              </w:rPr>
            </w:r>
            <w:r w:rsidR="00201B3C">
              <w:rPr>
                <w:noProof/>
                <w:webHidden/>
              </w:rPr>
              <w:fldChar w:fldCharType="separate"/>
            </w:r>
            <w:r w:rsidR="00201B3C">
              <w:rPr>
                <w:noProof/>
                <w:webHidden/>
              </w:rPr>
              <w:t>4</w:t>
            </w:r>
            <w:r w:rsidR="00201B3C">
              <w:rPr>
                <w:noProof/>
                <w:webHidden/>
              </w:rPr>
              <w:fldChar w:fldCharType="end"/>
            </w:r>
          </w:hyperlink>
        </w:p>
        <w:p w14:paraId="51097B0F" w14:textId="286B99B1" w:rsidR="00201B3C" w:rsidRDefault="00A011C4" w:rsidP="005F7B50">
          <w:pPr>
            <w:pStyle w:val="TOC1"/>
            <w:jc w:val="both"/>
            <w:rPr>
              <w:rFonts w:eastAsiaTheme="minorEastAsia"/>
              <w:noProof/>
              <w:lang w:eastAsia="en-IN"/>
            </w:rPr>
          </w:pPr>
          <w:hyperlink w:anchor="_Toc149824896" w:history="1">
            <w:r w:rsidR="00201B3C" w:rsidRPr="00B272E9">
              <w:rPr>
                <w:rStyle w:val="Hyperlink"/>
                <w:noProof/>
                <w:lang w:val="en-US"/>
              </w:rPr>
              <w:t>5.</w:t>
            </w:r>
            <w:r w:rsidR="00201B3C">
              <w:rPr>
                <w:rFonts w:eastAsiaTheme="minorEastAsia"/>
                <w:noProof/>
                <w:lang w:eastAsia="en-IN"/>
              </w:rPr>
              <w:tab/>
            </w:r>
            <w:r w:rsidR="00201B3C" w:rsidRPr="00B272E9">
              <w:rPr>
                <w:rStyle w:val="Hyperlink"/>
                <w:noProof/>
                <w:lang w:val="en-US"/>
              </w:rPr>
              <w:t>What has not changed?</w:t>
            </w:r>
            <w:r w:rsidR="00201B3C">
              <w:rPr>
                <w:noProof/>
                <w:webHidden/>
              </w:rPr>
              <w:tab/>
            </w:r>
            <w:r w:rsidR="00201B3C">
              <w:rPr>
                <w:noProof/>
                <w:webHidden/>
              </w:rPr>
              <w:fldChar w:fldCharType="begin"/>
            </w:r>
            <w:r w:rsidR="00201B3C">
              <w:rPr>
                <w:noProof/>
                <w:webHidden/>
              </w:rPr>
              <w:instrText xml:space="preserve"> PAGEREF _Toc149824896 \h </w:instrText>
            </w:r>
            <w:r w:rsidR="00201B3C">
              <w:rPr>
                <w:noProof/>
                <w:webHidden/>
              </w:rPr>
            </w:r>
            <w:r w:rsidR="00201B3C">
              <w:rPr>
                <w:noProof/>
                <w:webHidden/>
              </w:rPr>
              <w:fldChar w:fldCharType="separate"/>
            </w:r>
            <w:r w:rsidR="00201B3C">
              <w:rPr>
                <w:noProof/>
                <w:webHidden/>
              </w:rPr>
              <w:t>5</w:t>
            </w:r>
            <w:r w:rsidR="00201B3C">
              <w:rPr>
                <w:noProof/>
                <w:webHidden/>
              </w:rPr>
              <w:fldChar w:fldCharType="end"/>
            </w:r>
          </w:hyperlink>
        </w:p>
        <w:p w14:paraId="73C2C2F7" w14:textId="0E7FB6F3" w:rsidR="00201B3C" w:rsidRDefault="00A011C4" w:rsidP="005F7B50">
          <w:pPr>
            <w:pStyle w:val="TOC1"/>
            <w:jc w:val="both"/>
            <w:rPr>
              <w:rFonts w:eastAsiaTheme="minorEastAsia"/>
              <w:noProof/>
              <w:lang w:eastAsia="en-IN"/>
            </w:rPr>
          </w:pPr>
          <w:hyperlink w:anchor="_Toc149824897" w:history="1">
            <w:r w:rsidR="00201B3C" w:rsidRPr="00B272E9">
              <w:rPr>
                <w:rStyle w:val="Hyperlink"/>
                <w:noProof/>
                <w:lang w:val="en-US"/>
              </w:rPr>
              <w:t>6.</w:t>
            </w:r>
            <w:r w:rsidR="00201B3C">
              <w:rPr>
                <w:rFonts w:eastAsiaTheme="minorEastAsia"/>
                <w:noProof/>
                <w:lang w:eastAsia="en-IN"/>
              </w:rPr>
              <w:tab/>
            </w:r>
            <w:r w:rsidR="00201B3C" w:rsidRPr="00B272E9">
              <w:rPr>
                <w:rStyle w:val="Hyperlink"/>
                <w:noProof/>
                <w:lang w:val="en-US"/>
              </w:rPr>
              <w:t>What is our vision?</w:t>
            </w:r>
            <w:r w:rsidR="00201B3C">
              <w:rPr>
                <w:noProof/>
                <w:webHidden/>
              </w:rPr>
              <w:tab/>
            </w:r>
            <w:r w:rsidR="00201B3C">
              <w:rPr>
                <w:noProof/>
                <w:webHidden/>
              </w:rPr>
              <w:fldChar w:fldCharType="begin"/>
            </w:r>
            <w:r w:rsidR="00201B3C">
              <w:rPr>
                <w:noProof/>
                <w:webHidden/>
              </w:rPr>
              <w:instrText xml:space="preserve"> PAGEREF _Toc149824897 \h </w:instrText>
            </w:r>
            <w:r w:rsidR="00201B3C">
              <w:rPr>
                <w:noProof/>
                <w:webHidden/>
              </w:rPr>
            </w:r>
            <w:r w:rsidR="00201B3C">
              <w:rPr>
                <w:noProof/>
                <w:webHidden/>
              </w:rPr>
              <w:fldChar w:fldCharType="separate"/>
            </w:r>
            <w:r w:rsidR="00201B3C">
              <w:rPr>
                <w:noProof/>
                <w:webHidden/>
              </w:rPr>
              <w:t>7</w:t>
            </w:r>
            <w:r w:rsidR="00201B3C">
              <w:rPr>
                <w:noProof/>
                <w:webHidden/>
              </w:rPr>
              <w:fldChar w:fldCharType="end"/>
            </w:r>
          </w:hyperlink>
        </w:p>
        <w:p w14:paraId="11BE79BD" w14:textId="56FB36A8" w:rsidR="00201B3C" w:rsidRDefault="00A011C4" w:rsidP="005F7B50">
          <w:pPr>
            <w:pStyle w:val="TOC1"/>
            <w:jc w:val="both"/>
            <w:rPr>
              <w:rFonts w:eastAsiaTheme="minorEastAsia"/>
              <w:noProof/>
              <w:lang w:eastAsia="en-IN"/>
            </w:rPr>
          </w:pPr>
          <w:hyperlink w:anchor="_Toc149824898" w:history="1">
            <w:r w:rsidR="00201B3C" w:rsidRPr="00B272E9">
              <w:rPr>
                <w:rStyle w:val="Hyperlink"/>
                <w:noProof/>
                <w:lang w:val="en-US"/>
              </w:rPr>
              <w:t>7.</w:t>
            </w:r>
            <w:r w:rsidR="00201B3C">
              <w:rPr>
                <w:rFonts w:eastAsiaTheme="minorEastAsia"/>
                <w:noProof/>
                <w:lang w:eastAsia="en-IN"/>
              </w:rPr>
              <w:tab/>
            </w:r>
            <w:r w:rsidR="00201B3C" w:rsidRPr="00B272E9">
              <w:rPr>
                <w:rStyle w:val="Hyperlink"/>
                <w:noProof/>
                <w:lang w:val="en-US"/>
              </w:rPr>
              <w:t>What is our theory of change?</w:t>
            </w:r>
            <w:r w:rsidR="00201B3C">
              <w:rPr>
                <w:noProof/>
                <w:webHidden/>
              </w:rPr>
              <w:tab/>
            </w:r>
            <w:r w:rsidR="00201B3C">
              <w:rPr>
                <w:noProof/>
                <w:webHidden/>
              </w:rPr>
              <w:fldChar w:fldCharType="begin"/>
            </w:r>
            <w:r w:rsidR="00201B3C">
              <w:rPr>
                <w:noProof/>
                <w:webHidden/>
              </w:rPr>
              <w:instrText xml:space="preserve"> PAGEREF _Toc149824898 \h </w:instrText>
            </w:r>
            <w:r w:rsidR="00201B3C">
              <w:rPr>
                <w:noProof/>
                <w:webHidden/>
              </w:rPr>
            </w:r>
            <w:r w:rsidR="00201B3C">
              <w:rPr>
                <w:noProof/>
                <w:webHidden/>
              </w:rPr>
              <w:fldChar w:fldCharType="separate"/>
            </w:r>
            <w:r w:rsidR="00201B3C">
              <w:rPr>
                <w:noProof/>
                <w:webHidden/>
              </w:rPr>
              <w:t>7</w:t>
            </w:r>
            <w:r w:rsidR="00201B3C">
              <w:rPr>
                <w:noProof/>
                <w:webHidden/>
              </w:rPr>
              <w:fldChar w:fldCharType="end"/>
            </w:r>
          </w:hyperlink>
        </w:p>
        <w:p w14:paraId="535112D0" w14:textId="0CD4793D" w:rsidR="00201B3C" w:rsidRDefault="00A011C4" w:rsidP="005F7B50">
          <w:pPr>
            <w:pStyle w:val="TOC1"/>
            <w:jc w:val="both"/>
            <w:rPr>
              <w:rFonts w:eastAsiaTheme="minorEastAsia"/>
              <w:noProof/>
              <w:lang w:eastAsia="en-IN"/>
            </w:rPr>
          </w:pPr>
          <w:hyperlink w:anchor="_Toc149824899" w:history="1">
            <w:r w:rsidR="00201B3C" w:rsidRPr="00B272E9">
              <w:rPr>
                <w:rStyle w:val="Hyperlink"/>
                <w:noProof/>
                <w:lang w:val="en-US"/>
              </w:rPr>
              <w:t>8.</w:t>
            </w:r>
            <w:r w:rsidR="00201B3C">
              <w:rPr>
                <w:rFonts w:eastAsiaTheme="minorEastAsia"/>
                <w:noProof/>
                <w:lang w:eastAsia="en-IN"/>
              </w:rPr>
              <w:tab/>
            </w:r>
            <w:r w:rsidR="00201B3C" w:rsidRPr="00B272E9">
              <w:rPr>
                <w:rStyle w:val="Hyperlink"/>
                <w:noProof/>
                <w:lang w:val="en-US"/>
              </w:rPr>
              <w:t>How will we apply our theory of change to achieve our goals across our core values?</w:t>
            </w:r>
            <w:r w:rsidR="00201B3C">
              <w:rPr>
                <w:noProof/>
                <w:webHidden/>
              </w:rPr>
              <w:tab/>
            </w:r>
            <w:r w:rsidR="00201B3C">
              <w:rPr>
                <w:noProof/>
                <w:webHidden/>
              </w:rPr>
              <w:fldChar w:fldCharType="begin"/>
            </w:r>
            <w:r w:rsidR="00201B3C">
              <w:rPr>
                <w:noProof/>
                <w:webHidden/>
              </w:rPr>
              <w:instrText xml:space="preserve"> PAGEREF _Toc149824899 \h </w:instrText>
            </w:r>
            <w:r w:rsidR="00201B3C">
              <w:rPr>
                <w:noProof/>
                <w:webHidden/>
              </w:rPr>
            </w:r>
            <w:r w:rsidR="00201B3C">
              <w:rPr>
                <w:noProof/>
                <w:webHidden/>
              </w:rPr>
              <w:fldChar w:fldCharType="separate"/>
            </w:r>
            <w:r w:rsidR="00201B3C">
              <w:rPr>
                <w:noProof/>
                <w:webHidden/>
              </w:rPr>
              <w:t>8</w:t>
            </w:r>
            <w:r w:rsidR="00201B3C">
              <w:rPr>
                <w:noProof/>
                <w:webHidden/>
              </w:rPr>
              <w:fldChar w:fldCharType="end"/>
            </w:r>
          </w:hyperlink>
        </w:p>
        <w:p w14:paraId="684B9684" w14:textId="0FD0591A" w:rsidR="00201B3C" w:rsidRDefault="00A011C4" w:rsidP="005F7B50">
          <w:pPr>
            <w:pStyle w:val="TOC2"/>
            <w:tabs>
              <w:tab w:val="right" w:leader="dot" w:pos="9016"/>
            </w:tabs>
            <w:jc w:val="both"/>
            <w:rPr>
              <w:rFonts w:eastAsiaTheme="minorEastAsia"/>
              <w:noProof/>
              <w:lang w:eastAsia="en-IN"/>
            </w:rPr>
          </w:pPr>
          <w:hyperlink w:anchor="_Toc149824900" w:history="1">
            <w:r w:rsidR="00201B3C" w:rsidRPr="00B272E9">
              <w:rPr>
                <w:rStyle w:val="Hyperlink"/>
                <w:noProof/>
                <w:lang w:val="en-US"/>
              </w:rPr>
              <w:t>Outcome 1: Improved budget transparency at national and county level</w:t>
            </w:r>
            <w:r w:rsidR="00201B3C">
              <w:rPr>
                <w:noProof/>
                <w:webHidden/>
              </w:rPr>
              <w:tab/>
            </w:r>
            <w:r w:rsidR="00201B3C">
              <w:rPr>
                <w:noProof/>
                <w:webHidden/>
              </w:rPr>
              <w:fldChar w:fldCharType="begin"/>
            </w:r>
            <w:r w:rsidR="00201B3C">
              <w:rPr>
                <w:noProof/>
                <w:webHidden/>
              </w:rPr>
              <w:instrText xml:space="preserve"> PAGEREF _Toc149824900 \h </w:instrText>
            </w:r>
            <w:r w:rsidR="00201B3C">
              <w:rPr>
                <w:noProof/>
                <w:webHidden/>
              </w:rPr>
            </w:r>
            <w:r w:rsidR="00201B3C">
              <w:rPr>
                <w:noProof/>
                <w:webHidden/>
              </w:rPr>
              <w:fldChar w:fldCharType="separate"/>
            </w:r>
            <w:r w:rsidR="00201B3C">
              <w:rPr>
                <w:noProof/>
                <w:webHidden/>
              </w:rPr>
              <w:t>9</w:t>
            </w:r>
            <w:r w:rsidR="00201B3C">
              <w:rPr>
                <w:noProof/>
                <w:webHidden/>
              </w:rPr>
              <w:fldChar w:fldCharType="end"/>
            </w:r>
          </w:hyperlink>
        </w:p>
        <w:p w14:paraId="36DA47CE" w14:textId="0FD8D84E" w:rsidR="00201B3C" w:rsidRDefault="00A011C4" w:rsidP="005F7B50">
          <w:pPr>
            <w:pStyle w:val="TOC2"/>
            <w:tabs>
              <w:tab w:val="right" w:leader="dot" w:pos="9016"/>
            </w:tabs>
            <w:jc w:val="both"/>
            <w:rPr>
              <w:rFonts w:eastAsiaTheme="minorEastAsia"/>
              <w:noProof/>
              <w:lang w:eastAsia="en-IN"/>
            </w:rPr>
          </w:pPr>
          <w:hyperlink w:anchor="_Toc149824901" w:history="1">
            <w:r w:rsidR="00201B3C" w:rsidRPr="00B272E9">
              <w:rPr>
                <w:rStyle w:val="Hyperlink"/>
                <w:noProof/>
                <w:lang w:val="en-US"/>
              </w:rPr>
              <w:t>Outcome 2: Consistent and robust citizen participation across all stages of the budget process at national and county level</w:t>
            </w:r>
            <w:r w:rsidR="00201B3C">
              <w:rPr>
                <w:noProof/>
                <w:webHidden/>
              </w:rPr>
              <w:tab/>
            </w:r>
            <w:r w:rsidR="00201B3C">
              <w:rPr>
                <w:noProof/>
                <w:webHidden/>
              </w:rPr>
              <w:fldChar w:fldCharType="begin"/>
            </w:r>
            <w:r w:rsidR="00201B3C">
              <w:rPr>
                <w:noProof/>
                <w:webHidden/>
              </w:rPr>
              <w:instrText xml:space="preserve"> PAGEREF _Toc149824901 \h </w:instrText>
            </w:r>
            <w:r w:rsidR="00201B3C">
              <w:rPr>
                <w:noProof/>
                <w:webHidden/>
              </w:rPr>
            </w:r>
            <w:r w:rsidR="00201B3C">
              <w:rPr>
                <w:noProof/>
                <w:webHidden/>
              </w:rPr>
              <w:fldChar w:fldCharType="separate"/>
            </w:r>
            <w:r w:rsidR="00201B3C">
              <w:rPr>
                <w:noProof/>
                <w:webHidden/>
              </w:rPr>
              <w:t>11</w:t>
            </w:r>
            <w:r w:rsidR="00201B3C">
              <w:rPr>
                <w:noProof/>
                <w:webHidden/>
              </w:rPr>
              <w:fldChar w:fldCharType="end"/>
            </w:r>
          </w:hyperlink>
        </w:p>
        <w:p w14:paraId="6F017B5B" w14:textId="7F6B13C3" w:rsidR="00201B3C" w:rsidRDefault="00A011C4" w:rsidP="005F7B50">
          <w:pPr>
            <w:pStyle w:val="TOC2"/>
            <w:tabs>
              <w:tab w:val="right" w:leader="dot" w:pos="9016"/>
            </w:tabs>
            <w:jc w:val="both"/>
            <w:rPr>
              <w:rFonts w:eastAsiaTheme="minorEastAsia"/>
              <w:noProof/>
              <w:lang w:eastAsia="en-IN"/>
            </w:rPr>
          </w:pPr>
          <w:hyperlink w:anchor="_Toc149824902" w:history="1">
            <w:r w:rsidR="00201B3C" w:rsidRPr="00B272E9">
              <w:rPr>
                <w:rStyle w:val="Hyperlink"/>
                <w:noProof/>
                <w:lang w:val="en-US"/>
              </w:rPr>
              <w:t>Outcome 3: Kenya’s public finances better recognize existing inequalities and promote greater equity across regions and genders</w:t>
            </w:r>
            <w:r w:rsidR="00201B3C">
              <w:rPr>
                <w:noProof/>
                <w:webHidden/>
              </w:rPr>
              <w:tab/>
            </w:r>
            <w:r w:rsidR="00201B3C">
              <w:rPr>
                <w:noProof/>
                <w:webHidden/>
              </w:rPr>
              <w:fldChar w:fldCharType="begin"/>
            </w:r>
            <w:r w:rsidR="00201B3C">
              <w:rPr>
                <w:noProof/>
                <w:webHidden/>
              </w:rPr>
              <w:instrText xml:space="preserve"> PAGEREF _Toc149824902 \h </w:instrText>
            </w:r>
            <w:r w:rsidR="00201B3C">
              <w:rPr>
                <w:noProof/>
                <w:webHidden/>
              </w:rPr>
            </w:r>
            <w:r w:rsidR="00201B3C">
              <w:rPr>
                <w:noProof/>
                <w:webHidden/>
              </w:rPr>
              <w:fldChar w:fldCharType="separate"/>
            </w:r>
            <w:r w:rsidR="00201B3C">
              <w:rPr>
                <w:noProof/>
                <w:webHidden/>
              </w:rPr>
              <w:t>12</w:t>
            </w:r>
            <w:r w:rsidR="00201B3C">
              <w:rPr>
                <w:noProof/>
                <w:webHidden/>
              </w:rPr>
              <w:fldChar w:fldCharType="end"/>
            </w:r>
          </w:hyperlink>
        </w:p>
        <w:p w14:paraId="26E643E0" w14:textId="247E7A39" w:rsidR="00201B3C" w:rsidRDefault="00A011C4" w:rsidP="005F7B50">
          <w:pPr>
            <w:pStyle w:val="TOC2"/>
            <w:tabs>
              <w:tab w:val="right" w:leader="dot" w:pos="9016"/>
            </w:tabs>
            <w:jc w:val="both"/>
            <w:rPr>
              <w:rFonts w:eastAsiaTheme="minorEastAsia"/>
              <w:noProof/>
              <w:lang w:eastAsia="en-IN"/>
            </w:rPr>
          </w:pPr>
          <w:hyperlink w:anchor="_Toc149824903" w:history="1">
            <w:r w:rsidR="00201B3C" w:rsidRPr="00B272E9">
              <w:rPr>
                <w:rStyle w:val="Hyperlink"/>
                <w:noProof/>
                <w:lang w:val="en-US"/>
              </w:rPr>
              <w:t>Outcome 4:</w:t>
            </w:r>
            <w:r w:rsidR="00201B3C" w:rsidRPr="00B272E9">
              <w:rPr>
                <w:rStyle w:val="Hyperlink"/>
                <w:b/>
                <w:bCs/>
                <w:noProof/>
                <w:lang w:val="en-US"/>
              </w:rPr>
              <w:t xml:space="preserve"> </w:t>
            </w:r>
            <w:r w:rsidR="00201B3C" w:rsidRPr="00B272E9">
              <w:rPr>
                <w:rStyle w:val="Hyperlink"/>
                <w:noProof/>
                <w:lang w:val="en-US"/>
              </w:rPr>
              <w:t>Improved government accountability in public finance management at county and national levels.</w:t>
            </w:r>
            <w:r w:rsidR="00201B3C">
              <w:rPr>
                <w:noProof/>
                <w:webHidden/>
              </w:rPr>
              <w:tab/>
            </w:r>
            <w:r w:rsidR="00201B3C">
              <w:rPr>
                <w:noProof/>
                <w:webHidden/>
              </w:rPr>
              <w:fldChar w:fldCharType="begin"/>
            </w:r>
            <w:r w:rsidR="00201B3C">
              <w:rPr>
                <w:noProof/>
                <w:webHidden/>
              </w:rPr>
              <w:instrText xml:space="preserve"> PAGEREF _Toc149824903 \h </w:instrText>
            </w:r>
            <w:r w:rsidR="00201B3C">
              <w:rPr>
                <w:noProof/>
                <w:webHidden/>
              </w:rPr>
            </w:r>
            <w:r w:rsidR="00201B3C">
              <w:rPr>
                <w:noProof/>
                <w:webHidden/>
              </w:rPr>
              <w:fldChar w:fldCharType="separate"/>
            </w:r>
            <w:r w:rsidR="00201B3C">
              <w:rPr>
                <w:noProof/>
                <w:webHidden/>
              </w:rPr>
              <w:t>13</w:t>
            </w:r>
            <w:r w:rsidR="00201B3C">
              <w:rPr>
                <w:noProof/>
                <w:webHidden/>
              </w:rPr>
              <w:fldChar w:fldCharType="end"/>
            </w:r>
          </w:hyperlink>
        </w:p>
        <w:p w14:paraId="6AC6BEEA" w14:textId="7BD57D45" w:rsidR="00201B3C" w:rsidRDefault="00A011C4" w:rsidP="005F7B50">
          <w:pPr>
            <w:pStyle w:val="TOC1"/>
            <w:jc w:val="both"/>
            <w:rPr>
              <w:rFonts w:eastAsiaTheme="minorEastAsia"/>
              <w:noProof/>
              <w:lang w:eastAsia="en-IN"/>
            </w:rPr>
          </w:pPr>
          <w:hyperlink w:anchor="_Toc149824904" w:history="1">
            <w:r w:rsidR="00201B3C" w:rsidRPr="00B272E9">
              <w:rPr>
                <w:rStyle w:val="Hyperlink"/>
                <w:noProof/>
                <w:lang w:val="en-US"/>
              </w:rPr>
              <w:t>9.</w:t>
            </w:r>
            <w:r w:rsidR="00201B3C">
              <w:rPr>
                <w:rFonts w:eastAsiaTheme="minorEastAsia"/>
                <w:noProof/>
                <w:lang w:eastAsia="en-IN"/>
              </w:rPr>
              <w:tab/>
            </w:r>
            <w:r w:rsidR="00201B3C" w:rsidRPr="00B272E9">
              <w:rPr>
                <w:rStyle w:val="Hyperlink"/>
                <w:noProof/>
                <w:lang w:val="en-US"/>
              </w:rPr>
              <w:t>Thematic Focus Areas</w:t>
            </w:r>
            <w:r w:rsidR="00201B3C">
              <w:rPr>
                <w:noProof/>
                <w:webHidden/>
              </w:rPr>
              <w:tab/>
            </w:r>
            <w:r w:rsidR="00201B3C">
              <w:rPr>
                <w:noProof/>
                <w:webHidden/>
              </w:rPr>
              <w:fldChar w:fldCharType="begin"/>
            </w:r>
            <w:r w:rsidR="00201B3C">
              <w:rPr>
                <w:noProof/>
                <w:webHidden/>
              </w:rPr>
              <w:instrText xml:space="preserve"> PAGEREF _Toc149824904 \h </w:instrText>
            </w:r>
            <w:r w:rsidR="00201B3C">
              <w:rPr>
                <w:noProof/>
                <w:webHidden/>
              </w:rPr>
            </w:r>
            <w:r w:rsidR="00201B3C">
              <w:rPr>
                <w:noProof/>
                <w:webHidden/>
              </w:rPr>
              <w:fldChar w:fldCharType="separate"/>
            </w:r>
            <w:r w:rsidR="00201B3C">
              <w:rPr>
                <w:noProof/>
                <w:webHidden/>
              </w:rPr>
              <w:t>14</w:t>
            </w:r>
            <w:r w:rsidR="00201B3C">
              <w:rPr>
                <w:noProof/>
                <w:webHidden/>
              </w:rPr>
              <w:fldChar w:fldCharType="end"/>
            </w:r>
          </w:hyperlink>
        </w:p>
        <w:p w14:paraId="65970F57" w14:textId="56693C9D" w:rsidR="00201B3C" w:rsidRDefault="00A011C4" w:rsidP="005F7B50">
          <w:pPr>
            <w:pStyle w:val="TOC1"/>
            <w:jc w:val="both"/>
            <w:rPr>
              <w:rFonts w:eastAsiaTheme="minorEastAsia"/>
              <w:noProof/>
              <w:lang w:eastAsia="en-IN"/>
            </w:rPr>
          </w:pPr>
          <w:hyperlink w:anchor="_Toc149824931" w:history="1">
            <w:r w:rsidR="00201B3C" w:rsidRPr="00B272E9">
              <w:rPr>
                <w:rStyle w:val="Hyperlink"/>
                <w:noProof/>
                <w:lang w:val="en-US"/>
              </w:rPr>
              <w:t>10.</w:t>
            </w:r>
            <w:r w:rsidR="00201B3C">
              <w:rPr>
                <w:rFonts w:eastAsiaTheme="minorEastAsia"/>
                <w:noProof/>
                <w:lang w:eastAsia="en-IN"/>
              </w:rPr>
              <w:tab/>
            </w:r>
            <w:r w:rsidR="00201B3C" w:rsidRPr="00B272E9">
              <w:rPr>
                <w:rStyle w:val="Hyperlink"/>
                <w:noProof/>
                <w:lang w:val="en-US"/>
              </w:rPr>
              <w:t>How will we monitor progress?</w:t>
            </w:r>
            <w:r w:rsidR="00201B3C">
              <w:rPr>
                <w:noProof/>
                <w:webHidden/>
              </w:rPr>
              <w:tab/>
            </w:r>
            <w:r w:rsidR="00201B3C">
              <w:rPr>
                <w:noProof/>
                <w:webHidden/>
              </w:rPr>
              <w:fldChar w:fldCharType="begin"/>
            </w:r>
            <w:r w:rsidR="00201B3C">
              <w:rPr>
                <w:noProof/>
                <w:webHidden/>
              </w:rPr>
              <w:instrText xml:space="preserve"> PAGEREF _Toc149824931 \h </w:instrText>
            </w:r>
            <w:r w:rsidR="00201B3C">
              <w:rPr>
                <w:noProof/>
                <w:webHidden/>
              </w:rPr>
            </w:r>
            <w:r w:rsidR="00201B3C">
              <w:rPr>
                <w:noProof/>
                <w:webHidden/>
              </w:rPr>
              <w:fldChar w:fldCharType="separate"/>
            </w:r>
            <w:r w:rsidR="00201B3C">
              <w:rPr>
                <w:noProof/>
                <w:webHidden/>
              </w:rPr>
              <w:t>14</w:t>
            </w:r>
            <w:r w:rsidR="00201B3C">
              <w:rPr>
                <w:noProof/>
                <w:webHidden/>
              </w:rPr>
              <w:fldChar w:fldCharType="end"/>
            </w:r>
          </w:hyperlink>
        </w:p>
        <w:p w14:paraId="6F347204" w14:textId="08EB0F28" w:rsidR="00201B3C" w:rsidRDefault="00A011C4" w:rsidP="005F7B50">
          <w:pPr>
            <w:pStyle w:val="TOC1"/>
            <w:jc w:val="both"/>
            <w:rPr>
              <w:rFonts w:eastAsiaTheme="minorEastAsia"/>
              <w:noProof/>
              <w:lang w:eastAsia="en-IN"/>
            </w:rPr>
          </w:pPr>
          <w:hyperlink w:anchor="_Toc149824932" w:history="1">
            <w:r w:rsidR="00201B3C" w:rsidRPr="00B272E9">
              <w:rPr>
                <w:rStyle w:val="Hyperlink"/>
                <w:noProof/>
                <w:lang w:val="en-US"/>
              </w:rPr>
              <w:t>11.How will we build IPF internal systems to deliver on this strategy?</w:t>
            </w:r>
            <w:r w:rsidR="00201B3C">
              <w:rPr>
                <w:noProof/>
                <w:webHidden/>
              </w:rPr>
              <w:tab/>
            </w:r>
            <w:r w:rsidR="00201B3C">
              <w:rPr>
                <w:noProof/>
                <w:webHidden/>
              </w:rPr>
              <w:fldChar w:fldCharType="begin"/>
            </w:r>
            <w:r w:rsidR="00201B3C">
              <w:rPr>
                <w:noProof/>
                <w:webHidden/>
              </w:rPr>
              <w:instrText xml:space="preserve"> PAGEREF _Toc149824932 \h </w:instrText>
            </w:r>
            <w:r w:rsidR="00201B3C">
              <w:rPr>
                <w:noProof/>
                <w:webHidden/>
              </w:rPr>
            </w:r>
            <w:r w:rsidR="00201B3C">
              <w:rPr>
                <w:noProof/>
                <w:webHidden/>
              </w:rPr>
              <w:fldChar w:fldCharType="separate"/>
            </w:r>
            <w:r w:rsidR="00201B3C">
              <w:rPr>
                <w:noProof/>
                <w:webHidden/>
              </w:rPr>
              <w:t>16</w:t>
            </w:r>
            <w:r w:rsidR="00201B3C">
              <w:rPr>
                <w:noProof/>
                <w:webHidden/>
              </w:rPr>
              <w:fldChar w:fldCharType="end"/>
            </w:r>
          </w:hyperlink>
        </w:p>
        <w:p w14:paraId="4A06F57E" w14:textId="51AB4070" w:rsidR="00201B3C" w:rsidRDefault="00A011C4" w:rsidP="005F7B50">
          <w:pPr>
            <w:pStyle w:val="TOC1"/>
            <w:jc w:val="both"/>
            <w:rPr>
              <w:rFonts w:eastAsiaTheme="minorEastAsia"/>
              <w:noProof/>
              <w:lang w:eastAsia="en-IN"/>
            </w:rPr>
          </w:pPr>
          <w:hyperlink w:anchor="_Toc149824933" w:history="1">
            <w:r w:rsidR="00201B3C" w:rsidRPr="00B272E9">
              <w:rPr>
                <w:rStyle w:val="Hyperlink"/>
                <w:noProof/>
                <w:lang w:val="en-US"/>
              </w:rPr>
              <w:t>12.</w:t>
            </w:r>
            <w:r w:rsidR="00201B3C">
              <w:rPr>
                <w:rFonts w:eastAsiaTheme="minorEastAsia"/>
                <w:noProof/>
                <w:lang w:eastAsia="en-IN"/>
              </w:rPr>
              <w:tab/>
            </w:r>
            <w:r w:rsidR="00201B3C" w:rsidRPr="00B272E9">
              <w:rPr>
                <w:rStyle w:val="Hyperlink"/>
                <w:noProof/>
                <w:lang w:val="en-US"/>
              </w:rPr>
              <w:t>How will we resource our strategy?</w:t>
            </w:r>
            <w:r w:rsidR="00201B3C">
              <w:rPr>
                <w:noProof/>
                <w:webHidden/>
              </w:rPr>
              <w:tab/>
            </w:r>
            <w:r w:rsidR="00201B3C">
              <w:rPr>
                <w:noProof/>
                <w:webHidden/>
              </w:rPr>
              <w:fldChar w:fldCharType="begin"/>
            </w:r>
            <w:r w:rsidR="00201B3C">
              <w:rPr>
                <w:noProof/>
                <w:webHidden/>
              </w:rPr>
              <w:instrText xml:space="preserve"> PAGEREF _Toc149824933 \h </w:instrText>
            </w:r>
            <w:r w:rsidR="00201B3C">
              <w:rPr>
                <w:noProof/>
                <w:webHidden/>
              </w:rPr>
            </w:r>
            <w:r w:rsidR="00201B3C">
              <w:rPr>
                <w:noProof/>
                <w:webHidden/>
              </w:rPr>
              <w:fldChar w:fldCharType="separate"/>
            </w:r>
            <w:r w:rsidR="00201B3C">
              <w:rPr>
                <w:noProof/>
                <w:webHidden/>
              </w:rPr>
              <w:t>16</w:t>
            </w:r>
            <w:r w:rsidR="00201B3C">
              <w:rPr>
                <w:noProof/>
                <w:webHidden/>
              </w:rPr>
              <w:fldChar w:fldCharType="end"/>
            </w:r>
          </w:hyperlink>
        </w:p>
        <w:p w14:paraId="1E3994BA" w14:textId="58DA8BA0" w:rsidR="00963044" w:rsidRDefault="00963044" w:rsidP="005F7B50">
          <w:pPr>
            <w:jc w:val="both"/>
          </w:pPr>
          <w:r>
            <w:rPr>
              <w:b/>
              <w:bCs/>
              <w:noProof/>
            </w:rPr>
            <w:fldChar w:fldCharType="end"/>
          </w:r>
        </w:p>
      </w:sdtContent>
    </w:sdt>
    <w:p w14:paraId="4FA0C1EB" w14:textId="68666EA4" w:rsidR="005F7B50" w:rsidRDefault="005F7B50" w:rsidP="005F7B50">
      <w:pPr>
        <w:jc w:val="both"/>
      </w:pPr>
      <w:r>
        <w:br w:type="page"/>
      </w:r>
    </w:p>
    <w:p w14:paraId="504FC497" w14:textId="03040ACD" w:rsidR="006638D2" w:rsidRDefault="000A4E55" w:rsidP="005F7B50">
      <w:pPr>
        <w:pStyle w:val="Heading1"/>
        <w:numPr>
          <w:ilvl w:val="0"/>
          <w:numId w:val="1"/>
        </w:numPr>
        <w:jc w:val="both"/>
      </w:pPr>
      <w:bookmarkStart w:id="0" w:name="_Toc149824892"/>
      <w:r>
        <w:lastRenderedPageBreak/>
        <w:t>Who is IPF?</w:t>
      </w:r>
      <w:bookmarkEnd w:id="0"/>
    </w:p>
    <w:p w14:paraId="252E141F" w14:textId="77777777" w:rsidR="000A4E55" w:rsidRDefault="000A4E55" w:rsidP="005F7B50">
      <w:pPr>
        <w:jc w:val="both"/>
      </w:pPr>
    </w:p>
    <w:p w14:paraId="0B9C9785" w14:textId="04FD7358" w:rsidR="000A4E55" w:rsidRDefault="000A4E55" w:rsidP="005F7B50">
      <w:pPr>
        <w:jc w:val="both"/>
      </w:pPr>
      <w:r>
        <w:t xml:space="preserve">The Institute of Public Finance was established in 2013 with the intention of promoting transparency and accountability in public finance management (PFM) in Kenya, as detailed in its founding memorandum.  This was a moment of transition: Kenya’s new constitution mandated major changes in public finance, including the creation of county governments that would manage their own budgets at the local level.  With new, more </w:t>
      </w:r>
      <w:proofErr w:type="gramStart"/>
      <w:r>
        <w:t>open</w:t>
      </w:r>
      <w:proofErr w:type="gramEnd"/>
      <w:r>
        <w:t xml:space="preserve"> and more participatory budget processes at both national and county level, it was clear that there was a need for independent budget analysts </w:t>
      </w:r>
      <w:r w:rsidR="005F7B50">
        <w:t>to generate</w:t>
      </w:r>
      <w:r>
        <w:t xml:space="preserve"> credible evidence to inform budget stakeholders. IPF therefore began a program of research, capacity strengthening, training, and advocacy for both state and non-state actors at the national and county levels.  </w:t>
      </w:r>
    </w:p>
    <w:p w14:paraId="48CBC3A0" w14:textId="274F082C" w:rsidR="008B42AA" w:rsidRDefault="000A4E55" w:rsidP="005F7B50">
      <w:pPr>
        <w:jc w:val="both"/>
      </w:pPr>
      <w:r>
        <w:t>Over the last ten years, the Institute of Public Finance has become a leading public finance management think tank in Kenya.  The organization works to advance six key principles of public finance</w:t>
      </w:r>
      <w:r w:rsidR="008B42AA">
        <w:t>, which we will discuss in greater detail throughout this document</w:t>
      </w:r>
      <w:r>
        <w:t xml:space="preserve">: </w:t>
      </w:r>
    </w:p>
    <w:p w14:paraId="1AC2B858" w14:textId="54187AD2" w:rsidR="008B42AA" w:rsidRDefault="000A4E55" w:rsidP="005F7B50">
      <w:pPr>
        <w:pStyle w:val="ListParagraph"/>
        <w:numPr>
          <w:ilvl w:val="0"/>
          <w:numId w:val="6"/>
        </w:numPr>
        <w:jc w:val="both"/>
      </w:pPr>
      <w:r>
        <w:t xml:space="preserve">transparency </w:t>
      </w:r>
    </w:p>
    <w:p w14:paraId="5803DEE1" w14:textId="57FDFBFB" w:rsidR="008B42AA" w:rsidRDefault="000A4E55" w:rsidP="005F7B50">
      <w:pPr>
        <w:pStyle w:val="ListParagraph"/>
        <w:numPr>
          <w:ilvl w:val="0"/>
          <w:numId w:val="6"/>
        </w:numPr>
        <w:jc w:val="both"/>
      </w:pPr>
      <w:r>
        <w:t xml:space="preserve">public participation </w:t>
      </w:r>
    </w:p>
    <w:p w14:paraId="15AE2179" w14:textId="7094F431" w:rsidR="008B42AA" w:rsidRDefault="008B42AA" w:rsidP="005F7B50">
      <w:pPr>
        <w:pStyle w:val="ListParagraph"/>
        <w:numPr>
          <w:ilvl w:val="0"/>
          <w:numId w:val="6"/>
        </w:numPr>
        <w:jc w:val="both"/>
      </w:pPr>
      <w:r>
        <w:t xml:space="preserve">accountability </w:t>
      </w:r>
    </w:p>
    <w:p w14:paraId="1DE3C0B6" w14:textId="6A003BBA" w:rsidR="008B42AA" w:rsidRDefault="000A4E55" w:rsidP="005F7B50">
      <w:pPr>
        <w:pStyle w:val="ListParagraph"/>
        <w:numPr>
          <w:ilvl w:val="0"/>
          <w:numId w:val="6"/>
        </w:numPr>
        <w:jc w:val="both"/>
      </w:pPr>
      <w:r>
        <w:t xml:space="preserve">equity </w:t>
      </w:r>
    </w:p>
    <w:p w14:paraId="23C3B210" w14:textId="77777777" w:rsidR="008B42AA" w:rsidRDefault="000A4E55" w:rsidP="005F7B50">
      <w:pPr>
        <w:pStyle w:val="ListParagraph"/>
        <w:numPr>
          <w:ilvl w:val="0"/>
          <w:numId w:val="6"/>
        </w:numPr>
        <w:jc w:val="both"/>
      </w:pPr>
      <w:r>
        <w:t xml:space="preserve">efficiency </w:t>
      </w:r>
    </w:p>
    <w:p w14:paraId="02DA4D00" w14:textId="0D764670" w:rsidR="008B42AA" w:rsidRDefault="000A4E55" w:rsidP="005F7B50">
      <w:pPr>
        <w:pStyle w:val="ListParagraph"/>
        <w:numPr>
          <w:ilvl w:val="0"/>
          <w:numId w:val="6"/>
        </w:numPr>
        <w:jc w:val="both"/>
      </w:pPr>
      <w:r>
        <w:t xml:space="preserve">effectiveness  </w:t>
      </w:r>
    </w:p>
    <w:p w14:paraId="6EB157B3" w14:textId="48F46022" w:rsidR="000A4E55" w:rsidRDefault="000A4E55" w:rsidP="005F7B50">
      <w:pPr>
        <w:jc w:val="both"/>
      </w:pPr>
      <w:r>
        <w:t xml:space="preserve">We work at both levels of </w:t>
      </w:r>
      <w:r w:rsidR="00EE062C">
        <w:t>government and</w:t>
      </w:r>
      <w:r>
        <w:t xml:space="preserve"> have begun work beyond Kenya’s borders as well.  We have strong partnerships with local organizations and have built a reputation with government as a reliable interlocutor on public finance matters through our research products and events.</w:t>
      </w:r>
      <w:r w:rsidR="00BB6CAC">
        <w:t xml:space="preserve">  </w:t>
      </w:r>
      <w:r>
        <w:t>We are proud of the work we have done, but also very conscious of the long road ahead to realize our core values in Kenya’s public finances.</w:t>
      </w:r>
    </w:p>
    <w:p w14:paraId="092FCBAF" w14:textId="44B02AA5" w:rsidR="008B42AA" w:rsidRDefault="008B42AA" w:rsidP="005F7B50">
      <w:pPr>
        <w:jc w:val="both"/>
        <w:rPr>
          <w:lang w:val="en-US"/>
        </w:rPr>
      </w:pPr>
      <w:r>
        <w:t xml:space="preserve">As we take up the challenge of </w:t>
      </w:r>
      <w:r w:rsidR="00AB0105">
        <w:t>supporting PFM reforms</w:t>
      </w:r>
      <w:r>
        <w:t>, we do so as an organization committed to a set of 21</w:t>
      </w:r>
      <w:r w:rsidRPr="00FD6734">
        <w:rPr>
          <w:vertAlign w:val="superscript"/>
        </w:rPr>
        <w:t>st</w:t>
      </w:r>
      <w:r>
        <w:t xml:space="preserve"> century organization values that govern our day-to-day work.  These values include</w:t>
      </w:r>
      <w:r>
        <w:rPr>
          <w:lang w:val="en-US"/>
        </w:rPr>
        <w:t>:</w:t>
      </w:r>
    </w:p>
    <w:p w14:paraId="03AFF976" w14:textId="2733444E" w:rsidR="008B42AA" w:rsidRDefault="008B42AA" w:rsidP="005F7B50">
      <w:pPr>
        <w:jc w:val="both"/>
      </w:pPr>
      <w:r w:rsidRPr="00FD6734">
        <w:rPr>
          <w:b/>
          <w:bCs/>
        </w:rPr>
        <w:t>Diversity, Equity, and Inclusion</w:t>
      </w:r>
      <w:r>
        <w:t>: IPF operates on principles of merit and equal opportunity. We endeavo</w:t>
      </w:r>
      <w:r w:rsidR="00BE5A9F">
        <w:t>u</w:t>
      </w:r>
      <w:r>
        <w:t xml:space="preserve">r to maintain a gender-balanced workforce.  We encourage the full participation of our internal and external stakeholders in our programming. </w:t>
      </w:r>
    </w:p>
    <w:p w14:paraId="1101C9EF" w14:textId="171B7279" w:rsidR="008B42AA" w:rsidRDefault="008B42AA" w:rsidP="005F7B50">
      <w:pPr>
        <w:jc w:val="both"/>
      </w:pPr>
      <w:r w:rsidRPr="00FD6734">
        <w:rPr>
          <w:b/>
          <w:bCs/>
        </w:rPr>
        <w:t>Integrity and Accountability</w:t>
      </w:r>
      <w:r>
        <w:t>: We adhere to rigorous ethical standards in compliance with the laws in Kenya and other countries where we operate. IPF staff from the CEO to the administrators</w:t>
      </w:r>
      <w:r w:rsidR="00BE5A9F">
        <w:t>,</w:t>
      </w:r>
      <w:r>
        <w:t xml:space="preserve"> and everyone in between</w:t>
      </w:r>
      <w:r w:rsidR="00BE5A9F">
        <w:t>,</w:t>
      </w:r>
      <w:r>
        <w:t xml:space="preserve"> are answerable for their actions, behavio</w:t>
      </w:r>
      <w:r w:rsidR="00BE5A9F">
        <w:t>u</w:t>
      </w:r>
      <w:r>
        <w:t xml:space="preserve">rs, and performance.  </w:t>
      </w:r>
    </w:p>
    <w:p w14:paraId="0CAC93CB" w14:textId="7BA295BF" w:rsidR="008B42AA" w:rsidRDefault="008B42AA" w:rsidP="005F7B50">
      <w:pPr>
        <w:jc w:val="both"/>
      </w:pPr>
      <w:r w:rsidRPr="00FD6734">
        <w:rPr>
          <w:b/>
          <w:bCs/>
        </w:rPr>
        <w:t>Courage</w:t>
      </w:r>
      <w:r>
        <w:t xml:space="preserve">: Courage is the driving force behind meaningful change and the catalyst for transformed systems. IPF embodies courage in content development, policy discourse, and public participation.  </w:t>
      </w:r>
    </w:p>
    <w:p w14:paraId="53AE8E8A" w14:textId="77777777" w:rsidR="008B42AA" w:rsidRDefault="008B42AA" w:rsidP="005F7B50">
      <w:pPr>
        <w:jc w:val="both"/>
      </w:pPr>
      <w:r w:rsidRPr="00FD6734">
        <w:rPr>
          <w:b/>
          <w:bCs/>
        </w:rPr>
        <w:t>Relevance</w:t>
      </w:r>
      <w:r>
        <w:t xml:space="preserve">: We remain responsive to the ever-changing needs and dynamics within the public finance management space.  </w:t>
      </w:r>
    </w:p>
    <w:p w14:paraId="3ECEDDA3" w14:textId="6A9F1C05" w:rsidR="000A4E55" w:rsidRDefault="008B42AA" w:rsidP="005F7B50">
      <w:pPr>
        <w:jc w:val="both"/>
      </w:pPr>
      <w:r w:rsidRPr="00FD6734">
        <w:rPr>
          <w:b/>
          <w:bCs/>
        </w:rPr>
        <w:t>Innovation:</w:t>
      </w:r>
      <w:r>
        <w:t xml:space="preserve"> We push for creative ideas and solutions to better serve our employees, clients, and the organization.</w:t>
      </w:r>
    </w:p>
    <w:p w14:paraId="6D02F765" w14:textId="16966A36" w:rsidR="000A4E55" w:rsidRDefault="000A4E55" w:rsidP="005F7B50">
      <w:pPr>
        <w:pStyle w:val="Heading1"/>
        <w:numPr>
          <w:ilvl w:val="0"/>
          <w:numId w:val="1"/>
        </w:numPr>
        <w:jc w:val="both"/>
      </w:pPr>
      <w:bookmarkStart w:id="1" w:name="_Toc149824893"/>
      <w:r>
        <w:lastRenderedPageBreak/>
        <w:t>What has IPF achieved during the past ten years?</w:t>
      </w:r>
      <w:bookmarkEnd w:id="1"/>
    </w:p>
    <w:p w14:paraId="611AD773" w14:textId="77777777" w:rsidR="000A4E55" w:rsidRDefault="000A4E55" w:rsidP="005F7B50">
      <w:pPr>
        <w:jc w:val="both"/>
      </w:pPr>
    </w:p>
    <w:p w14:paraId="2467C71E" w14:textId="251A47E3" w:rsidR="00BB6CAC" w:rsidRDefault="00BB6CAC" w:rsidP="005F7B50">
      <w:pPr>
        <w:jc w:val="both"/>
      </w:pPr>
      <w:r>
        <w:t xml:space="preserve">The first ten years of IPF’s history have been transformative.  From an initial staff of </w:t>
      </w:r>
      <w:r w:rsidR="007C5735">
        <w:t>3</w:t>
      </w:r>
      <w:r>
        <w:t xml:space="preserve"> in 2014, we have grown into a robust team of </w:t>
      </w:r>
      <w:r w:rsidR="007C5735">
        <w:t>36</w:t>
      </w:r>
      <w:r>
        <w:t>.  This has been a time of both innovation and consolidation: experimenting with new workstreams, developing flagship products, and filling a gap in the country’s public finance discourse, while also turning our attention to strengthening staff capacity, developing more robust plans and monitoring systems, and starting to focus more on our impact.</w:t>
      </w:r>
    </w:p>
    <w:p w14:paraId="0B35A5CF" w14:textId="77777777" w:rsidR="00BB6CAC" w:rsidRDefault="00BB6CAC" w:rsidP="005F7B50">
      <w:pPr>
        <w:jc w:val="both"/>
      </w:pPr>
    </w:p>
    <w:p w14:paraId="7D6A55E6" w14:textId="12706B45" w:rsidR="00BB6CAC" w:rsidRDefault="00BB6CAC" w:rsidP="005F7B50">
      <w:pPr>
        <w:jc w:val="both"/>
      </w:pPr>
      <w:r w:rsidRPr="00BB6CAC">
        <w:rPr>
          <w:b/>
          <w:bCs/>
        </w:rPr>
        <w:t>Research.</w:t>
      </w:r>
      <w:r>
        <w:t xml:space="preserve">  IPF has introduced a number of key products that regularly assess the state of the economy and public finances in Kenya.  These include the Macro-fiscal Analytic Snapshot (MFAS) and the Annual National Shadow Budget.  We also participate in the annual County Budget Transparency Survey.  More recently, we have started to develop a new product, the Annual State of PFM, which will assess Kenya’s public finances against the six key values we hold at IPF.  Beyond these products, we develop regular papers, </w:t>
      </w:r>
      <w:proofErr w:type="gramStart"/>
      <w:r>
        <w:t>reports</w:t>
      </w:r>
      <w:proofErr w:type="gramEnd"/>
      <w:r>
        <w:t xml:space="preserve"> and briefs to serve a range of client interests in areas such as revenue, debt, health financing and </w:t>
      </w:r>
      <w:r w:rsidR="007C5735">
        <w:t>climate financing</w:t>
      </w:r>
      <w:r>
        <w:t>.</w:t>
      </w:r>
    </w:p>
    <w:p w14:paraId="5965EF7B" w14:textId="206AA782" w:rsidR="000557B8" w:rsidRDefault="00BB6CAC" w:rsidP="005F7B50">
      <w:pPr>
        <w:jc w:val="both"/>
      </w:pPr>
      <w:r w:rsidRPr="00BB6CAC">
        <w:rPr>
          <w:b/>
          <w:bCs/>
        </w:rPr>
        <w:t>Capacity Building</w:t>
      </w:r>
      <w:r w:rsidR="00D422D9">
        <w:rPr>
          <w:b/>
          <w:bCs/>
        </w:rPr>
        <w:t xml:space="preserve"> Across Kenya</w:t>
      </w:r>
      <w:r>
        <w:t xml:space="preserve">. </w:t>
      </w:r>
      <w:r w:rsidR="00FD6734" w:rsidRPr="00951ADE">
        <w:t>5</w:t>
      </w:r>
      <w:r w:rsidRPr="00951ADE">
        <w:t xml:space="preserve"> years ago</w:t>
      </w:r>
      <w:r w:rsidRPr="00BE5A9F">
        <w:t>,</w:t>
      </w:r>
      <w:r>
        <w:t xml:space="preserve"> IPF initiated and rolled out the PFM fellowship program to build a deep pool of resources that can support public finance management, particularly at the county level. 10 PFM fellows have graduated from this program since its inception in 2019. This has contributed to an increased pool of professionals with practical knowledge of PFM in Kenya and has increased the body of PFM knowledge through PFM publications such as blogs, policy briefs, and research papers produced by the PFM fellows.  Beyond the fellows, IPF works closely with citizens and government across a range of projects to build budget literacy and engagement.  </w:t>
      </w:r>
    </w:p>
    <w:p w14:paraId="539B4251" w14:textId="579A66C8" w:rsidR="00BB6CAC" w:rsidRDefault="00BB6CAC" w:rsidP="005F7B50">
      <w:pPr>
        <w:jc w:val="both"/>
      </w:pPr>
      <w:r>
        <w:t xml:space="preserve">In </w:t>
      </w:r>
      <w:r w:rsidRPr="00FD6734">
        <w:rPr>
          <w:b/>
          <w:bCs/>
        </w:rPr>
        <w:t>Siaya, Kitui, Machakos</w:t>
      </w:r>
      <w:r w:rsidR="00392C78" w:rsidRPr="00FD6734">
        <w:rPr>
          <w:b/>
          <w:bCs/>
        </w:rPr>
        <w:t xml:space="preserve">, Kwale, Turkana, Busia, </w:t>
      </w:r>
      <w:proofErr w:type="spellStart"/>
      <w:r w:rsidR="00392C78" w:rsidRPr="00FD6734">
        <w:rPr>
          <w:b/>
          <w:bCs/>
        </w:rPr>
        <w:t>Tiata</w:t>
      </w:r>
      <w:proofErr w:type="spellEnd"/>
      <w:r w:rsidR="00392C78" w:rsidRPr="00FD6734">
        <w:rPr>
          <w:b/>
          <w:bCs/>
        </w:rPr>
        <w:t xml:space="preserve"> Taveta, Nairobi, Kisumu,</w:t>
      </w:r>
      <w:r w:rsidR="00572429" w:rsidRPr="00FD6734">
        <w:rPr>
          <w:b/>
          <w:bCs/>
        </w:rPr>
        <w:t xml:space="preserve"> Kakamega, Narok, Kilifi,</w:t>
      </w:r>
      <w:r w:rsidR="00392C78" w:rsidRPr="00FD6734">
        <w:rPr>
          <w:b/>
          <w:bCs/>
        </w:rPr>
        <w:t xml:space="preserve"> Laikipia</w:t>
      </w:r>
      <w:r w:rsidRPr="00FD6734">
        <w:rPr>
          <w:b/>
          <w:bCs/>
        </w:rPr>
        <w:t xml:space="preserve"> and Makueni</w:t>
      </w:r>
      <w:r>
        <w:t xml:space="preserve">, we have strengthened formal mechanisms of participation in budgeting, such as the County Budget and Economic Forum, and worked with marginalized groups to make submissions </w:t>
      </w:r>
      <w:r w:rsidR="00022580">
        <w:t>during the budget process</w:t>
      </w:r>
      <w:r>
        <w:t>.</w:t>
      </w:r>
      <w:r w:rsidR="00022580">
        <w:t xml:space="preserve">  These submissions have led to budget changes.  For example, through capacity-strengthening sessions conducted by IPF in Kakamega, local advocates submitted a memorandum to the assembly budget committee which advocated for an increase in budgetary allocation to sexual reproductive health and family planning. The county government of Kakamega adopted the recommendations from the network and increased budgetary allocations to sexual reproductive health and family planning. </w:t>
      </w:r>
    </w:p>
    <w:p w14:paraId="1B3FF4D4" w14:textId="238D6D06" w:rsidR="00DC016F" w:rsidRDefault="00BB6CAC" w:rsidP="005F7B50">
      <w:pPr>
        <w:spacing w:before="240"/>
        <w:jc w:val="both"/>
      </w:pPr>
      <w:r w:rsidRPr="00BB6CAC">
        <w:rPr>
          <w:b/>
          <w:bCs/>
        </w:rPr>
        <w:t>Advocacy.</w:t>
      </w:r>
      <w:r>
        <w:t xml:space="preserve">  </w:t>
      </w:r>
      <w:r w:rsidR="00022580">
        <w:t xml:space="preserve">We have worked to advance county transparency through </w:t>
      </w:r>
      <w:r>
        <w:t xml:space="preserve">the </w:t>
      </w:r>
      <w:r w:rsidR="00022580">
        <w:t xml:space="preserve">use of the County Budget Transparency Survey, which has seen some of the counties we work in improve their scores.  </w:t>
      </w:r>
      <w:r w:rsidR="005F7B50" w:rsidRPr="005205A2">
        <w:t>Overall, average</w:t>
      </w:r>
      <w:r w:rsidR="00022580" w:rsidRPr="005205A2">
        <w:t xml:space="preserve"> CBTS scores </w:t>
      </w:r>
      <w:r w:rsidR="00BE5A9F">
        <w:t xml:space="preserve">across the country </w:t>
      </w:r>
      <w:r w:rsidR="00022580" w:rsidRPr="005205A2">
        <w:t xml:space="preserve">have </w:t>
      </w:r>
      <w:r w:rsidR="00022580">
        <w:t>increased from</w:t>
      </w:r>
      <w:r w:rsidR="00022580" w:rsidRPr="005205A2">
        <w:t xml:space="preserve"> 33 percent in 2020 to 41 percent in 2022.  </w:t>
      </w:r>
    </w:p>
    <w:p w14:paraId="520C4BFF" w14:textId="777D8E54" w:rsidR="00BB6CAC" w:rsidRDefault="00BB6CAC" w:rsidP="005F7B50">
      <w:pPr>
        <w:spacing w:before="240"/>
        <w:jc w:val="both"/>
      </w:pPr>
      <w:r>
        <w:t>This is a result of joint and continuous advocacy by both IPF and the budget champions</w:t>
      </w:r>
      <w:r w:rsidR="0096058A">
        <w:t xml:space="preserve"> (this is a network of county-based budget actors that have been trained by IPF across the counties </w:t>
      </w:r>
      <w:r w:rsidR="00724DB0">
        <w:t>that constitute the community members representing different interest groups and civil society actors)</w:t>
      </w:r>
      <w:r>
        <w:t>, and technical support to the county officials as follows.</w:t>
      </w:r>
      <w:r w:rsidR="00022580">
        <w:t xml:space="preserve"> </w:t>
      </w:r>
      <w:r>
        <w:t>There has been an increase in the number of additional budget documents made publicly available by the county governments</w:t>
      </w:r>
      <w:r w:rsidR="0096058A">
        <w:t xml:space="preserve"> </w:t>
      </w:r>
      <w:r>
        <w:t xml:space="preserve">of Siaya, Kitui, Makueni, and Machakos. </w:t>
      </w:r>
    </w:p>
    <w:tbl>
      <w:tblPr>
        <w:tblW w:w="7880" w:type="dxa"/>
        <w:tblInd w:w="100" w:type="dxa"/>
        <w:tblBorders>
          <w:insideH w:val="nil"/>
          <w:insideV w:val="nil"/>
        </w:tblBorders>
        <w:tblLayout w:type="fixed"/>
        <w:tblLook w:val="0600" w:firstRow="0" w:lastRow="0" w:firstColumn="0" w:lastColumn="0" w:noHBand="1" w:noVBand="1"/>
      </w:tblPr>
      <w:tblGrid>
        <w:gridCol w:w="3260"/>
        <w:gridCol w:w="3015"/>
        <w:gridCol w:w="1605"/>
      </w:tblGrid>
      <w:tr w:rsidR="00022580" w:rsidRPr="00EA6B16" w14:paraId="28BF8199" w14:textId="77777777">
        <w:trPr>
          <w:trHeight w:val="375"/>
        </w:trPr>
        <w:tc>
          <w:tcPr>
            <w:tcW w:w="326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hideMark/>
          </w:tcPr>
          <w:p w14:paraId="22C031C2" w14:textId="77777777" w:rsidR="00022580" w:rsidRPr="00EA6B16" w:rsidRDefault="00022580" w:rsidP="005F7B50">
            <w:pPr>
              <w:spacing w:before="240"/>
              <w:jc w:val="both"/>
              <w:rPr>
                <w:b/>
                <w:lang w:val="en"/>
              </w:rPr>
            </w:pPr>
            <w:r w:rsidRPr="00EA6B16">
              <w:rPr>
                <w:b/>
                <w:lang w:val="en"/>
              </w:rPr>
              <w:t>COUNTY</w:t>
            </w:r>
          </w:p>
        </w:tc>
        <w:tc>
          <w:tcPr>
            <w:tcW w:w="3015" w:type="dxa"/>
            <w:tcBorders>
              <w:top w:val="single" w:sz="6" w:space="0" w:color="000000"/>
              <w:left w:val="nil"/>
              <w:bottom w:val="single" w:sz="6" w:space="0" w:color="000000"/>
              <w:right w:val="single" w:sz="6" w:space="0" w:color="000000"/>
            </w:tcBorders>
            <w:shd w:val="clear" w:color="auto" w:fill="E7E6E6"/>
            <w:tcMar>
              <w:top w:w="0" w:type="dxa"/>
              <w:left w:w="100" w:type="dxa"/>
              <w:bottom w:w="0" w:type="dxa"/>
              <w:right w:w="100" w:type="dxa"/>
            </w:tcMar>
            <w:hideMark/>
          </w:tcPr>
          <w:p w14:paraId="424199BC" w14:textId="77777777" w:rsidR="00022580" w:rsidRPr="00EA6B16" w:rsidRDefault="00022580" w:rsidP="005F7B50">
            <w:pPr>
              <w:spacing w:before="240"/>
              <w:jc w:val="both"/>
              <w:rPr>
                <w:b/>
                <w:lang w:val="en"/>
              </w:rPr>
            </w:pPr>
            <w:r w:rsidRPr="00EA6B16">
              <w:rPr>
                <w:b/>
                <w:lang w:val="en"/>
              </w:rPr>
              <w:t>CBTS 2021</w:t>
            </w:r>
          </w:p>
        </w:tc>
        <w:tc>
          <w:tcPr>
            <w:tcW w:w="1605" w:type="dxa"/>
            <w:tcBorders>
              <w:top w:val="single" w:sz="6" w:space="0" w:color="000000"/>
              <w:left w:val="nil"/>
              <w:bottom w:val="single" w:sz="6" w:space="0" w:color="000000"/>
              <w:right w:val="single" w:sz="6" w:space="0" w:color="000000"/>
            </w:tcBorders>
            <w:shd w:val="clear" w:color="auto" w:fill="E7E6E6"/>
            <w:tcMar>
              <w:top w:w="0" w:type="dxa"/>
              <w:left w:w="100" w:type="dxa"/>
              <w:bottom w:w="0" w:type="dxa"/>
              <w:right w:w="100" w:type="dxa"/>
            </w:tcMar>
            <w:hideMark/>
          </w:tcPr>
          <w:p w14:paraId="69B3909B" w14:textId="77777777" w:rsidR="00022580" w:rsidRPr="00EA6B16" w:rsidRDefault="00022580" w:rsidP="005F7B50">
            <w:pPr>
              <w:spacing w:before="240"/>
              <w:jc w:val="both"/>
              <w:rPr>
                <w:b/>
                <w:lang w:val="en"/>
              </w:rPr>
            </w:pPr>
            <w:r w:rsidRPr="00EA6B16">
              <w:rPr>
                <w:b/>
                <w:lang w:val="en"/>
              </w:rPr>
              <w:t>CBTS 2022</w:t>
            </w:r>
          </w:p>
        </w:tc>
      </w:tr>
      <w:tr w:rsidR="00022580" w:rsidRPr="00EA6B16" w14:paraId="3A8AFBBD" w14:textId="77777777">
        <w:trPr>
          <w:trHeight w:val="375"/>
        </w:trPr>
        <w:tc>
          <w:tcPr>
            <w:tcW w:w="326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hideMark/>
          </w:tcPr>
          <w:p w14:paraId="55DB84A7" w14:textId="77777777" w:rsidR="00022580" w:rsidRPr="00EA6B16" w:rsidRDefault="00022580" w:rsidP="005F7B50">
            <w:pPr>
              <w:spacing w:before="240"/>
              <w:jc w:val="both"/>
              <w:rPr>
                <w:lang w:val="en"/>
              </w:rPr>
            </w:pPr>
            <w:r w:rsidRPr="00EA6B16">
              <w:rPr>
                <w:lang w:val="en"/>
              </w:rPr>
              <w:lastRenderedPageBreak/>
              <w:t>Makueni</w:t>
            </w:r>
          </w:p>
        </w:tc>
        <w:tc>
          <w:tcPr>
            <w:tcW w:w="3015" w:type="dxa"/>
            <w:tcBorders>
              <w:top w:val="nil"/>
              <w:left w:val="nil"/>
              <w:bottom w:val="single" w:sz="6" w:space="0" w:color="000000"/>
              <w:right w:val="single" w:sz="6" w:space="0" w:color="000000"/>
            </w:tcBorders>
            <w:shd w:val="clear" w:color="auto" w:fill="E7E6E6"/>
            <w:tcMar>
              <w:top w:w="0" w:type="dxa"/>
              <w:left w:w="100" w:type="dxa"/>
              <w:bottom w:w="0" w:type="dxa"/>
              <w:right w:w="100" w:type="dxa"/>
            </w:tcMar>
            <w:hideMark/>
          </w:tcPr>
          <w:p w14:paraId="617CCBBD" w14:textId="77777777" w:rsidR="00022580" w:rsidRPr="00EA6B16" w:rsidRDefault="00022580" w:rsidP="005F7B50">
            <w:pPr>
              <w:spacing w:before="240"/>
              <w:jc w:val="both"/>
              <w:rPr>
                <w:lang w:val="en"/>
              </w:rPr>
            </w:pPr>
            <w:r w:rsidRPr="00EA6B16">
              <w:rPr>
                <w:lang w:val="en"/>
              </w:rPr>
              <w:t>55</w:t>
            </w:r>
          </w:p>
        </w:tc>
        <w:tc>
          <w:tcPr>
            <w:tcW w:w="1605" w:type="dxa"/>
            <w:tcBorders>
              <w:top w:val="nil"/>
              <w:left w:val="nil"/>
              <w:bottom w:val="single" w:sz="6" w:space="0" w:color="000000"/>
              <w:right w:val="single" w:sz="6" w:space="0" w:color="000000"/>
            </w:tcBorders>
            <w:shd w:val="clear" w:color="auto" w:fill="E7E6E6"/>
            <w:tcMar>
              <w:top w:w="0" w:type="dxa"/>
              <w:left w:w="100" w:type="dxa"/>
              <w:bottom w:w="0" w:type="dxa"/>
              <w:right w:w="100" w:type="dxa"/>
            </w:tcMar>
            <w:hideMark/>
          </w:tcPr>
          <w:p w14:paraId="0BA10008" w14:textId="77777777" w:rsidR="00022580" w:rsidRPr="00EA6B16" w:rsidRDefault="00022580" w:rsidP="005F7B50">
            <w:pPr>
              <w:spacing w:before="240"/>
              <w:jc w:val="both"/>
              <w:rPr>
                <w:lang w:val="en"/>
              </w:rPr>
            </w:pPr>
            <w:r w:rsidRPr="00EA6B16">
              <w:rPr>
                <w:lang w:val="en"/>
              </w:rPr>
              <w:t>75</w:t>
            </w:r>
          </w:p>
        </w:tc>
      </w:tr>
      <w:tr w:rsidR="00022580" w:rsidRPr="00EA6B16" w14:paraId="5CBBA255" w14:textId="77777777">
        <w:trPr>
          <w:trHeight w:val="375"/>
        </w:trPr>
        <w:tc>
          <w:tcPr>
            <w:tcW w:w="326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hideMark/>
          </w:tcPr>
          <w:p w14:paraId="00E84A6B" w14:textId="77777777" w:rsidR="00022580" w:rsidRPr="00EA6B16" w:rsidRDefault="00022580" w:rsidP="005F7B50">
            <w:pPr>
              <w:spacing w:before="240"/>
              <w:jc w:val="both"/>
              <w:rPr>
                <w:lang w:val="en"/>
              </w:rPr>
            </w:pPr>
            <w:r w:rsidRPr="00EA6B16">
              <w:rPr>
                <w:lang w:val="en"/>
              </w:rPr>
              <w:t>Siaya</w:t>
            </w:r>
          </w:p>
        </w:tc>
        <w:tc>
          <w:tcPr>
            <w:tcW w:w="3015" w:type="dxa"/>
            <w:tcBorders>
              <w:top w:val="nil"/>
              <w:left w:val="nil"/>
              <w:bottom w:val="single" w:sz="6" w:space="0" w:color="000000"/>
              <w:right w:val="single" w:sz="6" w:space="0" w:color="000000"/>
            </w:tcBorders>
            <w:shd w:val="clear" w:color="auto" w:fill="E7E6E6"/>
            <w:tcMar>
              <w:top w:w="0" w:type="dxa"/>
              <w:left w:w="100" w:type="dxa"/>
              <w:bottom w:w="0" w:type="dxa"/>
              <w:right w:w="100" w:type="dxa"/>
            </w:tcMar>
            <w:hideMark/>
          </w:tcPr>
          <w:p w14:paraId="6A7BACA8" w14:textId="77777777" w:rsidR="00022580" w:rsidRPr="00EA6B16" w:rsidRDefault="00022580" w:rsidP="005F7B50">
            <w:pPr>
              <w:spacing w:before="240"/>
              <w:jc w:val="both"/>
              <w:rPr>
                <w:lang w:val="en"/>
              </w:rPr>
            </w:pPr>
            <w:r w:rsidRPr="00EA6B16">
              <w:rPr>
                <w:lang w:val="en"/>
              </w:rPr>
              <w:t>45</w:t>
            </w:r>
          </w:p>
        </w:tc>
        <w:tc>
          <w:tcPr>
            <w:tcW w:w="1605" w:type="dxa"/>
            <w:tcBorders>
              <w:top w:val="nil"/>
              <w:left w:val="nil"/>
              <w:bottom w:val="single" w:sz="6" w:space="0" w:color="000000"/>
              <w:right w:val="single" w:sz="6" w:space="0" w:color="000000"/>
            </w:tcBorders>
            <w:shd w:val="clear" w:color="auto" w:fill="E7E6E6"/>
            <w:tcMar>
              <w:top w:w="0" w:type="dxa"/>
              <w:left w:w="100" w:type="dxa"/>
              <w:bottom w:w="0" w:type="dxa"/>
              <w:right w:w="100" w:type="dxa"/>
            </w:tcMar>
            <w:hideMark/>
          </w:tcPr>
          <w:p w14:paraId="259B954E" w14:textId="77777777" w:rsidR="00022580" w:rsidRPr="00EA6B16" w:rsidRDefault="00022580" w:rsidP="005F7B50">
            <w:pPr>
              <w:spacing w:before="240"/>
              <w:jc w:val="both"/>
              <w:rPr>
                <w:lang w:val="en"/>
              </w:rPr>
            </w:pPr>
            <w:r w:rsidRPr="00EA6B16">
              <w:rPr>
                <w:lang w:val="en"/>
              </w:rPr>
              <w:t>48</w:t>
            </w:r>
          </w:p>
        </w:tc>
      </w:tr>
      <w:tr w:rsidR="00022580" w:rsidRPr="00EA6B16" w14:paraId="7D66E40B" w14:textId="77777777">
        <w:trPr>
          <w:trHeight w:val="30"/>
        </w:trPr>
        <w:tc>
          <w:tcPr>
            <w:tcW w:w="326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hideMark/>
          </w:tcPr>
          <w:p w14:paraId="254F7E48" w14:textId="77777777" w:rsidR="00022580" w:rsidRPr="00EA6B16" w:rsidRDefault="00022580" w:rsidP="005F7B50">
            <w:pPr>
              <w:spacing w:before="240"/>
              <w:jc w:val="both"/>
              <w:rPr>
                <w:lang w:val="en"/>
              </w:rPr>
            </w:pPr>
            <w:r w:rsidRPr="00EA6B16">
              <w:rPr>
                <w:lang w:val="en"/>
              </w:rPr>
              <w:t>Kitui</w:t>
            </w:r>
          </w:p>
        </w:tc>
        <w:tc>
          <w:tcPr>
            <w:tcW w:w="3015" w:type="dxa"/>
            <w:tcBorders>
              <w:top w:val="nil"/>
              <w:left w:val="nil"/>
              <w:bottom w:val="single" w:sz="6" w:space="0" w:color="000000"/>
              <w:right w:val="single" w:sz="6" w:space="0" w:color="000000"/>
            </w:tcBorders>
            <w:shd w:val="clear" w:color="auto" w:fill="E7E6E6"/>
            <w:tcMar>
              <w:top w:w="0" w:type="dxa"/>
              <w:left w:w="100" w:type="dxa"/>
              <w:bottom w:w="0" w:type="dxa"/>
              <w:right w:w="100" w:type="dxa"/>
            </w:tcMar>
            <w:hideMark/>
          </w:tcPr>
          <w:p w14:paraId="75AC5D1B" w14:textId="77777777" w:rsidR="00022580" w:rsidRPr="00EA6B16" w:rsidRDefault="00022580" w:rsidP="005F7B50">
            <w:pPr>
              <w:spacing w:before="240"/>
              <w:jc w:val="both"/>
              <w:rPr>
                <w:lang w:val="en"/>
              </w:rPr>
            </w:pPr>
            <w:r w:rsidRPr="00EA6B16">
              <w:rPr>
                <w:lang w:val="en"/>
              </w:rPr>
              <w:t>66</w:t>
            </w:r>
          </w:p>
        </w:tc>
        <w:tc>
          <w:tcPr>
            <w:tcW w:w="1605" w:type="dxa"/>
            <w:tcBorders>
              <w:top w:val="nil"/>
              <w:left w:val="nil"/>
              <w:bottom w:val="single" w:sz="6" w:space="0" w:color="000000"/>
              <w:right w:val="single" w:sz="6" w:space="0" w:color="000000"/>
            </w:tcBorders>
            <w:shd w:val="clear" w:color="auto" w:fill="E7E6E6"/>
            <w:tcMar>
              <w:top w:w="0" w:type="dxa"/>
              <w:left w:w="100" w:type="dxa"/>
              <w:bottom w:w="0" w:type="dxa"/>
              <w:right w:w="100" w:type="dxa"/>
            </w:tcMar>
            <w:hideMark/>
          </w:tcPr>
          <w:p w14:paraId="707CC38D" w14:textId="77777777" w:rsidR="00022580" w:rsidRPr="00EA6B16" w:rsidRDefault="00022580" w:rsidP="005F7B50">
            <w:pPr>
              <w:spacing w:before="240"/>
              <w:jc w:val="both"/>
              <w:rPr>
                <w:lang w:val="en"/>
              </w:rPr>
            </w:pPr>
            <w:r w:rsidRPr="00EA6B16">
              <w:rPr>
                <w:lang w:val="en"/>
              </w:rPr>
              <w:t>69</w:t>
            </w:r>
          </w:p>
        </w:tc>
      </w:tr>
    </w:tbl>
    <w:p w14:paraId="20F4E8A2" w14:textId="77777777" w:rsidR="00022580" w:rsidRDefault="00022580" w:rsidP="005F7B50">
      <w:pPr>
        <w:jc w:val="both"/>
      </w:pPr>
    </w:p>
    <w:p w14:paraId="3CCC5D0A" w14:textId="311ADD7A" w:rsidR="00BB6CAC" w:rsidRDefault="00BB6CAC" w:rsidP="005F7B50">
      <w:pPr>
        <w:jc w:val="both"/>
      </w:pPr>
      <w:r>
        <w:t>Further, IPF made various submissions on budget documents including the</w:t>
      </w:r>
      <w:r w:rsidR="00BE5A9F">
        <w:t xml:space="preserve"> 2023</w:t>
      </w:r>
      <w:r>
        <w:t xml:space="preserve"> BPS, 2023 MTDS, and Finance Bill 2023 both to the National Treasury and Parliament, and some recommendations were adopted. The National Treasury recognized and responded to IPF’s submissions on the 2023 BPS. The Public Debt and Privatization Committee acknowledged IPF’s contributions to the 2023 MTDS. Parliament adopted IPF’s recommendation to zero-rate the supply of maize flour and wheat flour in the Finance Bill 2022.</w:t>
      </w:r>
    </w:p>
    <w:p w14:paraId="071A1597" w14:textId="77777777" w:rsidR="00BB6CAC" w:rsidRDefault="00BB6CAC" w:rsidP="005F7B50">
      <w:pPr>
        <w:jc w:val="both"/>
      </w:pPr>
      <w:r>
        <w:t xml:space="preserve">Advocating for a streamlined revenue system, IPF engaged Kakamega County MCAs, through the Sauti </w:t>
      </w:r>
      <w:proofErr w:type="spellStart"/>
      <w:r>
        <w:t>ya</w:t>
      </w:r>
      <w:proofErr w:type="spellEnd"/>
      <w:r>
        <w:t xml:space="preserve"> </w:t>
      </w:r>
      <w:proofErr w:type="spellStart"/>
      <w:r>
        <w:t>Bajeti</w:t>
      </w:r>
      <w:proofErr w:type="spellEnd"/>
      <w:r>
        <w:t xml:space="preserve"> </w:t>
      </w:r>
      <w:proofErr w:type="spellStart"/>
      <w:r>
        <w:t>Mashinani</w:t>
      </w:r>
      <w:proofErr w:type="spellEnd"/>
      <w:r>
        <w:t xml:space="preserve"> project, to champion for full implementation of the cashless system to improve the county’s own-source revenue. As a result, the county government has adopted a cashless revenue collection system.</w:t>
      </w:r>
    </w:p>
    <w:p w14:paraId="21F5B825" w14:textId="1ED14D43" w:rsidR="000A4E55" w:rsidRDefault="00022580" w:rsidP="005F7B50">
      <w:pPr>
        <w:jc w:val="both"/>
      </w:pPr>
      <w:r w:rsidRPr="00022580">
        <w:rPr>
          <w:b/>
          <w:bCs/>
        </w:rPr>
        <w:t>Insitutionalization</w:t>
      </w:r>
      <w:r>
        <w:t xml:space="preserve">.  </w:t>
      </w:r>
      <w:r w:rsidR="00BB6CAC">
        <w:t xml:space="preserve">IPF has worked towards strengthening and institutionalizing </w:t>
      </w:r>
      <w:r>
        <w:t>our</w:t>
      </w:r>
      <w:r w:rsidR="00BB6CAC">
        <w:t xml:space="preserve"> internal systems and structures for efficient and effective management of the organization</w:t>
      </w:r>
      <w:r w:rsidR="00BE5A9F">
        <w:t>.  We have done so</w:t>
      </w:r>
      <w:r w:rsidR="00BB6CAC">
        <w:t xml:space="preserve"> through the development of various departmental strategies such as </w:t>
      </w:r>
      <w:r w:rsidR="00BE5A9F">
        <w:t>a r</w:t>
      </w:r>
      <w:r w:rsidR="00BB6CAC">
        <w:t xml:space="preserve">esearch strategy, </w:t>
      </w:r>
      <w:r w:rsidR="00BE5A9F">
        <w:t>a c</w:t>
      </w:r>
      <w:r w:rsidR="00BB6CAC">
        <w:t>ommunication</w:t>
      </w:r>
      <w:r w:rsidR="00BE5A9F">
        <w:t xml:space="preserve"> strategy</w:t>
      </w:r>
      <w:r w:rsidR="00BB6CAC">
        <w:t>, and</w:t>
      </w:r>
      <w:r w:rsidR="00BE5A9F">
        <w:t xml:space="preserve"> an</w:t>
      </w:r>
      <w:r w:rsidR="00BB6CAC">
        <w:t xml:space="preserve"> M&amp;E Strategy, the institutionalization of the human resource department, and professional development of staff.</w:t>
      </w:r>
    </w:p>
    <w:p w14:paraId="68B085A5" w14:textId="01006BF0" w:rsidR="00BB6CAC" w:rsidRDefault="00DC016F" w:rsidP="005F7B50">
      <w:pPr>
        <w:pStyle w:val="Heading1"/>
        <w:numPr>
          <w:ilvl w:val="0"/>
          <w:numId w:val="1"/>
        </w:numPr>
        <w:jc w:val="both"/>
      </w:pPr>
      <w:bookmarkStart w:id="2" w:name="_Toc149824894"/>
      <w:r>
        <w:t>Where have we been less successful?</w:t>
      </w:r>
      <w:bookmarkEnd w:id="2"/>
    </w:p>
    <w:p w14:paraId="246E52D9" w14:textId="77777777" w:rsidR="00DC016F" w:rsidRDefault="00DC016F" w:rsidP="005F7B50">
      <w:pPr>
        <w:jc w:val="both"/>
      </w:pPr>
    </w:p>
    <w:p w14:paraId="4D0A8BB4" w14:textId="43C382A0" w:rsidR="00BB6CAC" w:rsidRDefault="00DC016F" w:rsidP="005F7B50">
      <w:pPr>
        <w:jc w:val="both"/>
      </w:pPr>
      <w:r>
        <w:t>We have a lot to celebrate IPF from our first decade, but like any organization, we have also been less successful in some areas than in others.  We view these not as failures, but as opportunities for the next strategic plan period.</w:t>
      </w:r>
    </w:p>
    <w:p w14:paraId="7ABE131C" w14:textId="21784001" w:rsidR="00DC016F" w:rsidRDefault="00DC016F" w:rsidP="005F7B50">
      <w:pPr>
        <w:jc w:val="both"/>
      </w:pPr>
      <w:r w:rsidRPr="00DC016F">
        <w:rPr>
          <w:b/>
          <w:bCs/>
        </w:rPr>
        <w:t>Translating research into impact.</w:t>
      </w:r>
      <w:r>
        <w:rPr>
          <w:b/>
          <w:bCs/>
        </w:rPr>
        <w:t xml:space="preserve">  </w:t>
      </w:r>
      <w:r>
        <w:t xml:space="preserve">While IPF has increasingly developed a reputation as a credible research institution, the policy impact of our research is still not as significant as </w:t>
      </w:r>
      <w:r w:rsidR="00E268B4">
        <w:t>we desire</w:t>
      </w:r>
      <w:r>
        <w:t>.  Policy change is not a linear process, and no single research product can change the incentives facing policymakers.  Nevertheless, we must do more to ensure that our research is tailored to our audience, and that we follow up on our findings and recommendations through media and advocacy strategies that focus on policy change.</w:t>
      </w:r>
      <w:r w:rsidR="00AC650D">
        <w:t xml:space="preserve">  This will require a more robust approach to strategic communications, and better staffing of our communications department going forward.</w:t>
      </w:r>
    </w:p>
    <w:p w14:paraId="7646396F" w14:textId="70C64190" w:rsidR="00DC016F" w:rsidRDefault="002B6879" w:rsidP="005F7B50">
      <w:pPr>
        <w:jc w:val="both"/>
      </w:pPr>
      <w:r w:rsidRPr="002B6879">
        <w:rPr>
          <w:b/>
          <w:bCs/>
        </w:rPr>
        <w:t>Monitoring and performance</w:t>
      </w:r>
      <w:r>
        <w:t>.  Our first years as an organization focused on building a portfolio of work and recruiting and training capable staff to deliver on our agenda.  But we recognize that our systems for monitoring staff performance and organizational impact are not yet fit for purpose.  We have undertaken a review of our systems and have already introduced performance management tools internally.  We are working to refine our strategies and our monitoring and evaluation systems going forward.</w:t>
      </w:r>
    </w:p>
    <w:p w14:paraId="05FE1C91" w14:textId="371A9B86" w:rsidR="00AC650D" w:rsidRPr="00AC650D" w:rsidRDefault="00F914FD" w:rsidP="005F7B50">
      <w:pPr>
        <w:jc w:val="both"/>
        <w:rPr>
          <w:lang w:val="en-US"/>
        </w:rPr>
      </w:pPr>
      <w:r w:rsidRPr="00F914FD">
        <w:rPr>
          <w:b/>
          <w:bCs/>
        </w:rPr>
        <w:lastRenderedPageBreak/>
        <w:t xml:space="preserve">Staff </w:t>
      </w:r>
      <w:r w:rsidR="00845366">
        <w:rPr>
          <w:b/>
          <w:bCs/>
        </w:rPr>
        <w:t>development.</w:t>
      </w:r>
      <w:r>
        <w:t xml:space="preserve">  The </w:t>
      </w:r>
      <w:r w:rsidR="00845366">
        <w:t>early years of the organization’s development saw</w:t>
      </w:r>
      <w:r>
        <w:t xml:space="preserve"> considerable staff churning as </w:t>
      </w:r>
      <w:r w:rsidR="00845366">
        <w:t>we</w:t>
      </w:r>
      <w:r>
        <w:t xml:space="preserve"> struggled to ensure sustained financing and to build </w:t>
      </w:r>
      <w:r w:rsidR="00845366">
        <w:t>our</w:t>
      </w:r>
      <w:r>
        <w:t xml:space="preserve"> brand.  As we have matured into a larger organization with more stable funding, we must turn our attention to staff engagement and professional development.  </w:t>
      </w:r>
      <w:r w:rsidR="00AC650D">
        <w:t xml:space="preserve">Our goal is </w:t>
      </w:r>
      <w:r w:rsidR="00AC650D" w:rsidRPr="00AC650D">
        <w:rPr>
          <w:lang w:val="en-US"/>
        </w:rPr>
        <w:t>to ensure that employees hold favorable opinions of the institution, feel connected to their teams, and are more fulfilled with their respective roles. This will motivate them to participate more in the growth of the organization and stay long enough to advance their careers within the organization.</w:t>
      </w:r>
    </w:p>
    <w:p w14:paraId="7CE79964" w14:textId="009A98A8" w:rsidR="002B6879" w:rsidRDefault="002B6879" w:rsidP="005F7B50">
      <w:pPr>
        <w:jc w:val="both"/>
        <w:rPr>
          <w:lang w:val="en-US"/>
        </w:rPr>
      </w:pPr>
    </w:p>
    <w:p w14:paraId="212D1008" w14:textId="3424DAC0" w:rsidR="00AC650D" w:rsidRDefault="00C25A4D" w:rsidP="005F7B50">
      <w:pPr>
        <w:pStyle w:val="Heading1"/>
        <w:numPr>
          <w:ilvl w:val="0"/>
          <w:numId w:val="1"/>
        </w:numPr>
        <w:jc w:val="both"/>
        <w:rPr>
          <w:lang w:val="en-US"/>
        </w:rPr>
      </w:pPr>
      <w:bookmarkStart w:id="3" w:name="_Toc149824895"/>
      <w:r>
        <w:rPr>
          <w:lang w:val="en-US"/>
        </w:rPr>
        <w:t>How has our context changed?</w:t>
      </w:r>
      <w:bookmarkEnd w:id="3"/>
    </w:p>
    <w:p w14:paraId="752AA87A" w14:textId="77777777" w:rsidR="00C25A4D" w:rsidRDefault="00C25A4D" w:rsidP="005F7B50">
      <w:pPr>
        <w:jc w:val="both"/>
        <w:rPr>
          <w:lang w:val="en-US"/>
        </w:rPr>
      </w:pPr>
    </w:p>
    <w:p w14:paraId="32B95BC2" w14:textId="76B6BED6" w:rsidR="006B2F02" w:rsidRPr="004470CC" w:rsidRDefault="00933380" w:rsidP="005F7B50">
      <w:pPr>
        <w:jc w:val="both"/>
        <w:rPr>
          <w:rFonts w:cs="Arial"/>
          <w:shd w:val="clear" w:color="auto" w:fill="FFFFFF"/>
        </w:rPr>
      </w:pPr>
      <w:r>
        <w:rPr>
          <w:b/>
          <w:bCs/>
          <w:lang w:val="en-US"/>
        </w:rPr>
        <w:t>As debt levels have surged, t</w:t>
      </w:r>
      <w:r w:rsidR="00CD5BE2">
        <w:rPr>
          <w:b/>
          <w:bCs/>
          <w:lang w:val="en-US"/>
        </w:rPr>
        <w:t>he</w:t>
      </w:r>
      <w:r>
        <w:rPr>
          <w:b/>
          <w:bCs/>
          <w:lang w:val="en-US"/>
        </w:rPr>
        <w:t xml:space="preserve"> Kenyan</w:t>
      </w:r>
      <w:r w:rsidR="00CD5BE2">
        <w:rPr>
          <w:b/>
          <w:bCs/>
          <w:lang w:val="en-US"/>
        </w:rPr>
        <w:t xml:space="preserve"> government is increasingly focused on domestic resource mobilization, posing threats to equity and efficiency of the tax system.  </w:t>
      </w:r>
      <w:r w:rsidR="00CD5BE2" w:rsidRPr="00BE7293">
        <w:rPr>
          <w:lang w:val="en-US"/>
        </w:rPr>
        <w:t>The</w:t>
      </w:r>
      <w:r w:rsidR="004A2CC7" w:rsidRPr="00BE7293">
        <w:rPr>
          <w:lang w:val="en-US"/>
        </w:rPr>
        <w:t xml:space="preserve"> National Tax Policy and the </w:t>
      </w:r>
      <w:r w:rsidR="00D21657" w:rsidRPr="00BE7293">
        <w:rPr>
          <w:lang w:val="en-US"/>
        </w:rPr>
        <w:t>draft Medium</w:t>
      </w:r>
      <w:r w:rsidR="004A2CC7" w:rsidRPr="00BE7293">
        <w:rPr>
          <w:lang w:val="en-US"/>
        </w:rPr>
        <w:t xml:space="preserve"> Term Revenue Strategy </w:t>
      </w:r>
      <w:r w:rsidR="00CD5BE2">
        <w:rPr>
          <w:rFonts w:cs="Arial"/>
          <w:shd w:val="clear" w:color="auto" w:fill="FFFFFF"/>
        </w:rPr>
        <w:t>suggest that the</w:t>
      </w:r>
      <w:r w:rsidR="006B2F02">
        <w:rPr>
          <w:rFonts w:cs="Arial"/>
          <w:shd w:val="clear" w:color="auto" w:fill="FFFFFF"/>
        </w:rPr>
        <w:t xml:space="preserve"> burden of taxation is likely to increase if implemented as is. Even though there are some tax measures that are geared towards expanding the tax base, most target those already taxed. </w:t>
      </w:r>
      <w:r w:rsidR="00CD5BE2">
        <w:rPr>
          <w:rFonts w:cs="Arial"/>
          <w:shd w:val="clear" w:color="auto" w:fill="FFFFFF"/>
        </w:rPr>
        <w:t>While some of the taxes proposed will enhance</w:t>
      </w:r>
      <w:r w:rsidR="006B2F02">
        <w:rPr>
          <w:rFonts w:cs="Arial"/>
          <w:shd w:val="clear" w:color="auto" w:fill="FFFFFF"/>
        </w:rPr>
        <w:t xml:space="preserve"> </w:t>
      </w:r>
      <w:r w:rsidR="00CD5BE2">
        <w:rPr>
          <w:rFonts w:cs="Arial"/>
          <w:shd w:val="clear" w:color="auto" w:fill="FFFFFF"/>
        </w:rPr>
        <w:t xml:space="preserve">the </w:t>
      </w:r>
      <w:r w:rsidR="005E367A">
        <w:rPr>
          <w:rFonts w:cs="Arial"/>
          <w:shd w:val="clear" w:color="auto" w:fill="FFFFFF"/>
        </w:rPr>
        <w:t>progressivity</w:t>
      </w:r>
      <w:r w:rsidR="006B2F02">
        <w:rPr>
          <w:rFonts w:cs="Arial"/>
          <w:shd w:val="clear" w:color="auto" w:fill="FFFFFF"/>
        </w:rPr>
        <w:t xml:space="preserve"> of Kenya’s tax system</w:t>
      </w:r>
      <w:r w:rsidR="00CD5BE2">
        <w:rPr>
          <w:rFonts w:cs="Arial"/>
          <w:shd w:val="clear" w:color="auto" w:fill="FFFFFF"/>
        </w:rPr>
        <w:t>, others may lead to greater inequality, and may be inefficient or difficult to administer</w:t>
      </w:r>
      <w:r w:rsidR="006B2F02">
        <w:rPr>
          <w:rFonts w:cs="Arial"/>
          <w:shd w:val="clear" w:color="auto" w:fill="FFFFFF"/>
        </w:rPr>
        <w:t>.</w:t>
      </w:r>
      <w:r w:rsidR="007C5735" w:rsidRPr="007C5735">
        <w:t xml:space="preserve"> </w:t>
      </w:r>
      <w:r w:rsidR="007C5735" w:rsidRPr="007C5735">
        <w:rPr>
          <w:rFonts w:cs="Arial"/>
          <w:shd w:val="clear" w:color="auto" w:fill="FFFFFF"/>
        </w:rPr>
        <w:t xml:space="preserve">For example, the government in the draft MTRS proposes removal of personal relief under personal income tax which may result to a higher tax burden for low-income earners and at the same time proposes an increase in the value added tax (VAT) standard rate from 16 percent to 18 percent, which given that VAT </w:t>
      </w:r>
      <w:r w:rsidR="004975FF">
        <w:rPr>
          <w:rFonts w:cs="Arial"/>
          <w:shd w:val="clear" w:color="auto" w:fill="FFFFFF"/>
        </w:rPr>
        <w:t>tends to be</w:t>
      </w:r>
      <w:r w:rsidR="007C5735" w:rsidRPr="007C5735">
        <w:rPr>
          <w:rFonts w:cs="Arial"/>
          <w:shd w:val="clear" w:color="auto" w:fill="FFFFFF"/>
        </w:rPr>
        <w:t xml:space="preserve"> a regressive tax</w:t>
      </w:r>
      <w:r w:rsidR="004975FF">
        <w:rPr>
          <w:rFonts w:cs="Arial"/>
          <w:shd w:val="clear" w:color="auto" w:fill="FFFFFF"/>
        </w:rPr>
        <w:t>,</w:t>
      </w:r>
      <w:r w:rsidR="007C5735" w:rsidRPr="007C5735">
        <w:rPr>
          <w:rFonts w:cs="Arial"/>
          <w:shd w:val="clear" w:color="auto" w:fill="FFFFFF"/>
        </w:rPr>
        <w:t xml:space="preserve"> </w:t>
      </w:r>
      <w:r w:rsidR="004975FF">
        <w:rPr>
          <w:rFonts w:cs="Arial"/>
          <w:shd w:val="clear" w:color="auto" w:fill="FFFFFF"/>
        </w:rPr>
        <w:t>may</w:t>
      </w:r>
      <w:r w:rsidR="007C5735" w:rsidRPr="007C5735">
        <w:rPr>
          <w:rFonts w:cs="Arial"/>
          <w:shd w:val="clear" w:color="auto" w:fill="FFFFFF"/>
        </w:rPr>
        <w:t xml:space="preserve"> result into a more regressive tax system. </w:t>
      </w:r>
      <w:r w:rsidR="008C7363">
        <w:rPr>
          <w:rFonts w:ascii="Calibri" w:hAnsi="Calibri" w:cs="Calibri"/>
          <w:color w:val="222222"/>
          <w:shd w:val="clear" w:color="auto" w:fill="FFFFFF"/>
        </w:rPr>
        <w:t>Lower-income households spend a greater share of their income on consumption than higher-income households. According to the State Department of Planning’s  </w:t>
      </w:r>
      <w:hyperlink r:id="rId8" w:tgtFrame="_blank" w:history="1">
        <w:r w:rsidR="008C7363">
          <w:rPr>
            <w:rStyle w:val="Hyperlink"/>
            <w:rFonts w:ascii="Calibri" w:hAnsi="Calibri" w:cs="Calibri"/>
            <w:color w:val="0563C1"/>
            <w:shd w:val="clear" w:color="auto" w:fill="FFFFFF"/>
          </w:rPr>
          <w:t>Comprehensive Public Expenditure Review</w:t>
        </w:r>
      </w:hyperlink>
      <w:r w:rsidR="008C7363">
        <w:t>,</w:t>
      </w:r>
      <w:r w:rsidR="008C7363">
        <w:rPr>
          <w:rFonts w:ascii="Calibri" w:hAnsi="Calibri" w:cs="Calibri"/>
          <w:color w:val="222222"/>
          <w:shd w:val="clear" w:color="auto" w:fill="FFFFFF"/>
        </w:rPr>
        <w:t>  VAT is mildly progressive owing to inclusion of exempted and zero rate items. However, the proposal to charge a standard VAT rate on all supplies will make the VAT system less progressive.</w:t>
      </w:r>
      <w:r w:rsidR="006B2F02">
        <w:rPr>
          <w:rFonts w:cs="Arial"/>
          <w:shd w:val="clear" w:color="auto" w:fill="FFFFFF"/>
        </w:rPr>
        <w:t xml:space="preserve"> </w:t>
      </w:r>
      <w:r w:rsidR="00CD5BE2">
        <w:rPr>
          <w:rFonts w:cs="Arial"/>
          <w:shd w:val="clear" w:color="auto" w:fill="FFFFFF"/>
        </w:rPr>
        <w:t xml:space="preserve"> </w:t>
      </w:r>
      <w:r w:rsidR="00AA0207">
        <w:rPr>
          <w:rFonts w:cs="Arial"/>
          <w:shd w:val="clear" w:color="auto" w:fill="FFFFFF"/>
        </w:rPr>
        <w:t>T</w:t>
      </w:r>
      <w:r w:rsidR="006B2F02">
        <w:rPr>
          <w:rFonts w:cs="Arial"/>
          <w:shd w:val="clear" w:color="auto" w:fill="FFFFFF"/>
        </w:rPr>
        <w:t xml:space="preserve">here is </w:t>
      </w:r>
      <w:r w:rsidR="00CD5BE2">
        <w:rPr>
          <w:rFonts w:cs="Arial"/>
          <w:shd w:val="clear" w:color="auto" w:fill="FFFFFF"/>
        </w:rPr>
        <w:t>currently</w:t>
      </w:r>
      <w:r w:rsidR="006B2F02">
        <w:rPr>
          <w:rFonts w:cs="Arial"/>
          <w:shd w:val="clear" w:color="auto" w:fill="FFFFFF"/>
        </w:rPr>
        <w:t xml:space="preserve"> room to engage the government on tax reforms to ensure specific tax measures align with key principles of </w:t>
      </w:r>
      <w:r w:rsidR="002A1907">
        <w:rPr>
          <w:rFonts w:cs="Arial"/>
          <w:shd w:val="clear" w:color="auto" w:fill="FFFFFF"/>
        </w:rPr>
        <w:t>effectiveness</w:t>
      </w:r>
      <w:r w:rsidR="006B2F02">
        <w:rPr>
          <w:rFonts w:cs="Arial"/>
          <w:shd w:val="clear" w:color="auto" w:fill="FFFFFF"/>
        </w:rPr>
        <w:t xml:space="preserve">, </w:t>
      </w:r>
      <w:r w:rsidR="00573D13">
        <w:rPr>
          <w:rFonts w:cs="Arial"/>
          <w:shd w:val="clear" w:color="auto" w:fill="FFFFFF"/>
        </w:rPr>
        <w:t>efficiency,</w:t>
      </w:r>
      <w:r w:rsidR="006B2F02">
        <w:rPr>
          <w:rFonts w:cs="Arial"/>
          <w:shd w:val="clear" w:color="auto" w:fill="FFFFFF"/>
        </w:rPr>
        <w:t xml:space="preserve"> and equity.</w:t>
      </w:r>
    </w:p>
    <w:p w14:paraId="79EC640D" w14:textId="5E2711F1" w:rsidR="00D21657" w:rsidRPr="002C1CEA" w:rsidRDefault="00CD5BE2" w:rsidP="005F7B50">
      <w:pPr>
        <w:jc w:val="both"/>
        <w:rPr>
          <w:lang w:val="en-US"/>
        </w:rPr>
      </w:pPr>
      <w:r>
        <w:rPr>
          <w:b/>
          <w:bCs/>
          <w:lang w:val="en-US"/>
        </w:rPr>
        <w:t>Citizens are</w:t>
      </w:r>
      <w:r w:rsidR="004C6BE6">
        <w:rPr>
          <w:b/>
          <w:bCs/>
          <w:lang w:val="en-US"/>
        </w:rPr>
        <w:t xml:space="preserve"> increas</w:t>
      </w:r>
      <w:r>
        <w:rPr>
          <w:b/>
          <w:bCs/>
          <w:lang w:val="en-US"/>
        </w:rPr>
        <w:t>ingly</w:t>
      </w:r>
      <w:r w:rsidR="004C6BE6">
        <w:rPr>
          <w:b/>
          <w:bCs/>
          <w:lang w:val="en-US"/>
        </w:rPr>
        <w:t xml:space="preserve"> aware of county and national budget </w:t>
      </w:r>
      <w:proofErr w:type="gramStart"/>
      <w:r w:rsidR="004C6BE6">
        <w:rPr>
          <w:b/>
          <w:bCs/>
          <w:lang w:val="en-US"/>
        </w:rPr>
        <w:t xml:space="preserve">processes, </w:t>
      </w:r>
      <w:r>
        <w:rPr>
          <w:b/>
          <w:bCs/>
          <w:lang w:val="en-US"/>
        </w:rPr>
        <w:t>and</w:t>
      </w:r>
      <w:proofErr w:type="gramEnd"/>
      <w:r>
        <w:rPr>
          <w:b/>
          <w:bCs/>
          <w:lang w:val="en-US"/>
        </w:rPr>
        <w:t xml:space="preserve"> are more actively</w:t>
      </w:r>
      <w:r w:rsidR="00FF1042">
        <w:rPr>
          <w:b/>
          <w:bCs/>
          <w:lang w:val="en-US"/>
        </w:rPr>
        <w:t xml:space="preserve"> participat</w:t>
      </w:r>
      <w:r>
        <w:rPr>
          <w:b/>
          <w:bCs/>
          <w:lang w:val="en-US"/>
        </w:rPr>
        <w:t>ing</w:t>
      </w:r>
      <w:r w:rsidR="00FF1042">
        <w:rPr>
          <w:b/>
          <w:bCs/>
          <w:lang w:val="en-US"/>
        </w:rPr>
        <w:t xml:space="preserve"> </w:t>
      </w:r>
      <w:r>
        <w:rPr>
          <w:b/>
          <w:bCs/>
          <w:lang w:val="en-US"/>
        </w:rPr>
        <w:t>in them</w:t>
      </w:r>
      <w:r w:rsidR="00FF1042">
        <w:rPr>
          <w:b/>
          <w:bCs/>
          <w:lang w:val="en-US"/>
        </w:rPr>
        <w:t xml:space="preserve">. </w:t>
      </w:r>
      <w:r>
        <w:rPr>
          <w:lang w:val="en-US"/>
        </w:rPr>
        <w:t xml:space="preserve">While opportunities for formal participation remain limited, they have improved somewhat: </w:t>
      </w:r>
      <w:r w:rsidRPr="00C25A4D">
        <w:rPr>
          <w:lang w:val="en-US"/>
        </w:rPr>
        <w:t>Kenya’s score on public participation</w:t>
      </w:r>
      <w:r>
        <w:rPr>
          <w:lang w:val="en-US"/>
        </w:rPr>
        <w:t xml:space="preserve"> in the Open Budget Survey</w:t>
      </w:r>
      <w:r w:rsidRPr="00C25A4D">
        <w:rPr>
          <w:lang w:val="en-US"/>
        </w:rPr>
        <w:t xml:space="preserve"> rose to 31 from 20 in 2019. </w:t>
      </w:r>
      <w:r>
        <w:rPr>
          <w:lang w:val="en-US"/>
        </w:rPr>
        <w:t xml:space="preserve"> In addition, citizens are engaging more actively in public finance in a variety of less formal ways, and there is growing awareness of issues around public debt, taxation, and expenditure.  </w:t>
      </w:r>
      <w:r w:rsidR="003F663B" w:rsidRPr="00FC04EF">
        <w:rPr>
          <w:lang w:val="en-US"/>
        </w:rPr>
        <w:t>In our pr</w:t>
      </w:r>
      <w:r w:rsidR="002A553B" w:rsidRPr="00FC04EF">
        <w:rPr>
          <w:lang w:val="en-US"/>
        </w:rPr>
        <w:t>evious strategy, we undertook numerous awareness and capacity building initiatives on government budgets</w:t>
      </w:r>
      <w:r w:rsidR="002A553B">
        <w:rPr>
          <w:b/>
          <w:bCs/>
          <w:lang w:val="en-US"/>
        </w:rPr>
        <w:t xml:space="preserve">. </w:t>
      </w:r>
      <w:r w:rsidR="00655188" w:rsidRPr="002C1CEA">
        <w:rPr>
          <w:lang w:val="en-US"/>
        </w:rPr>
        <w:t>In this strategy</w:t>
      </w:r>
      <w:r w:rsidR="00D95C51" w:rsidRPr="002C1CEA">
        <w:rPr>
          <w:lang w:val="en-US"/>
        </w:rPr>
        <w:t>,</w:t>
      </w:r>
      <w:r w:rsidR="00655188" w:rsidRPr="002C1CEA">
        <w:rPr>
          <w:lang w:val="en-US"/>
        </w:rPr>
        <w:t xml:space="preserve"> we </w:t>
      </w:r>
      <w:r w:rsidR="002C1CEA" w:rsidRPr="002C1CEA">
        <w:rPr>
          <w:lang w:val="en-US"/>
        </w:rPr>
        <w:t>will move</w:t>
      </w:r>
      <w:r w:rsidR="00D21657" w:rsidRPr="002C1CEA">
        <w:rPr>
          <w:lang w:val="en-US"/>
        </w:rPr>
        <w:t xml:space="preserve"> beyond creating </w:t>
      </w:r>
      <w:r>
        <w:rPr>
          <w:lang w:val="en-US"/>
        </w:rPr>
        <w:t xml:space="preserve">basic </w:t>
      </w:r>
      <w:r w:rsidR="00D21657" w:rsidRPr="002C1CEA">
        <w:rPr>
          <w:lang w:val="en-US"/>
        </w:rPr>
        <w:t>awareness</w:t>
      </w:r>
      <w:r w:rsidR="00655188" w:rsidRPr="002C1CEA">
        <w:rPr>
          <w:lang w:val="en-US"/>
        </w:rPr>
        <w:t xml:space="preserve"> </w:t>
      </w:r>
      <w:r>
        <w:rPr>
          <w:lang w:val="en-US"/>
        </w:rPr>
        <w:t>to</w:t>
      </w:r>
      <w:r w:rsidR="002C1CEA" w:rsidRPr="002C1CEA">
        <w:rPr>
          <w:lang w:val="en-US"/>
        </w:rPr>
        <w:t xml:space="preserve"> </w:t>
      </w:r>
      <w:r>
        <w:rPr>
          <w:lang w:val="en-US"/>
        </w:rPr>
        <w:t>focus on</w:t>
      </w:r>
      <w:r w:rsidR="00A42BEE">
        <w:rPr>
          <w:lang w:val="en-US"/>
        </w:rPr>
        <w:t xml:space="preserve"> </w:t>
      </w:r>
      <w:r w:rsidR="00D21657" w:rsidRPr="002C1CEA">
        <w:rPr>
          <w:lang w:val="en-US"/>
        </w:rPr>
        <w:t xml:space="preserve">more </w:t>
      </w:r>
      <w:r w:rsidR="009E7C86" w:rsidRPr="002C1CEA">
        <w:rPr>
          <w:lang w:val="en-US"/>
        </w:rPr>
        <w:t>sophisticated</w:t>
      </w:r>
      <w:r w:rsidR="00D21657" w:rsidRPr="002C1CEA">
        <w:rPr>
          <w:lang w:val="en-US"/>
        </w:rPr>
        <w:t xml:space="preserve"> topics</w:t>
      </w:r>
      <w:r w:rsidR="009E7C86">
        <w:rPr>
          <w:lang w:val="en-US"/>
        </w:rPr>
        <w:t xml:space="preserve"> </w:t>
      </w:r>
      <w:r>
        <w:rPr>
          <w:lang w:val="en-US"/>
        </w:rPr>
        <w:t>related to our</w:t>
      </w:r>
      <w:r w:rsidR="009E7C86">
        <w:rPr>
          <w:lang w:val="en-US"/>
        </w:rPr>
        <w:t xml:space="preserve"> PFM values and </w:t>
      </w:r>
      <w:r>
        <w:rPr>
          <w:lang w:val="en-US"/>
        </w:rPr>
        <w:t xml:space="preserve">budgeting within </w:t>
      </w:r>
      <w:r w:rsidR="009E7C86">
        <w:rPr>
          <w:lang w:val="en-US"/>
        </w:rPr>
        <w:t xml:space="preserve">our thematic areas. </w:t>
      </w:r>
      <w:r w:rsidR="00D21657" w:rsidRPr="002C1CEA">
        <w:rPr>
          <w:lang w:val="en-US"/>
        </w:rPr>
        <w:t xml:space="preserve">  </w:t>
      </w:r>
    </w:p>
    <w:p w14:paraId="1EA63AE4" w14:textId="4F42699E" w:rsidR="00CD5BE2" w:rsidRDefault="00CD5BE2" w:rsidP="005F7B50">
      <w:pPr>
        <w:jc w:val="both"/>
        <w:rPr>
          <w:b/>
          <w:bCs/>
          <w:lang w:val="en-US"/>
        </w:rPr>
      </w:pPr>
      <w:r>
        <w:rPr>
          <w:b/>
          <w:bCs/>
          <w:lang w:val="en-US"/>
        </w:rPr>
        <w:t>Not only are citizens more engaged, but there is s</w:t>
      </w:r>
      <w:r w:rsidRPr="00C25A4D">
        <w:rPr>
          <w:b/>
          <w:bCs/>
          <w:lang w:val="en-US"/>
        </w:rPr>
        <w:t xml:space="preserve">ome </w:t>
      </w:r>
      <w:r>
        <w:rPr>
          <w:b/>
          <w:bCs/>
          <w:lang w:val="en-US"/>
        </w:rPr>
        <w:t>evidenc</w:t>
      </w:r>
      <w:r w:rsidRPr="00C25A4D">
        <w:rPr>
          <w:b/>
          <w:bCs/>
          <w:lang w:val="en-US"/>
        </w:rPr>
        <w:t xml:space="preserve">e of </w:t>
      </w:r>
      <w:r>
        <w:rPr>
          <w:b/>
          <w:bCs/>
          <w:lang w:val="en-US"/>
        </w:rPr>
        <w:t xml:space="preserve">government </w:t>
      </w:r>
      <w:r w:rsidRPr="00C25A4D">
        <w:rPr>
          <w:b/>
          <w:bCs/>
          <w:lang w:val="en-US"/>
        </w:rPr>
        <w:t>responsiveness to citizen views</w:t>
      </w:r>
      <w:r>
        <w:rPr>
          <w:lang w:val="en-US"/>
        </w:rPr>
        <w:t>.  We have seen more attention paid to citizen submissions to government, including the a</w:t>
      </w:r>
      <w:r w:rsidRPr="00C25A4D">
        <w:rPr>
          <w:lang w:val="en-US"/>
        </w:rPr>
        <w:t>doption of recommendations by IPF in at the national level and sub-national level. For instance,</w:t>
      </w:r>
      <w:r>
        <w:rPr>
          <w:lang w:val="en-US"/>
        </w:rPr>
        <w:t xml:space="preserve"> we commented on and influenced</w:t>
      </w:r>
      <w:r w:rsidRPr="00C25A4D">
        <w:rPr>
          <w:lang w:val="en-US"/>
        </w:rPr>
        <w:t xml:space="preserve"> </w:t>
      </w:r>
      <w:r>
        <w:rPr>
          <w:lang w:val="en-US"/>
        </w:rPr>
        <w:t xml:space="preserve">the </w:t>
      </w:r>
      <w:r w:rsidRPr="00C25A4D">
        <w:rPr>
          <w:lang w:val="en-US"/>
        </w:rPr>
        <w:t xml:space="preserve">draft National Tax Policy, the BPS, 2023 MTDS, Finance Bill 2022, and Finance Bill 2023 both to the National Treasury and Parliament. </w:t>
      </w:r>
      <w:r w:rsidR="007C5735" w:rsidRPr="007C5735">
        <w:rPr>
          <w:lang w:val="en-US"/>
        </w:rPr>
        <w:t xml:space="preserve">The National Assembly for the first time called for public participation on the 2023 Medium-Term Debt Management Strategy (MTDS). IPF responded to this call by submitting a memorandum highlighting key policy issues including the proposed debt strategy, sources of concessional loans and the impact that the government’s fiscal deficit policy would have on debt sustainability. The submission flagged inconsistencies in government’s borrowing policy especially in settling for the right mix of external and </w:t>
      </w:r>
      <w:r w:rsidR="007C5735" w:rsidRPr="007C5735">
        <w:rPr>
          <w:lang w:val="en-US"/>
        </w:rPr>
        <w:lastRenderedPageBreak/>
        <w:t xml:space="preserve">domestic </w:t>
      </w:r>
      <w:proofErr w:type="gramStart"/>
      <w:r w:rsidR="007C5735" w:rsidRPr="007C5735">
        <w:rPr>
          <w:lang w:val="en-US"/>
        </w:rPr>
        <w:t xml:space="preserve">debt, </w:t>
      </w:r>
      <w:r w:rsidR="00BC6DFE">
        <w:rPr>
          <w:lang w:val="en-US"/>
        </w:rPr>
        <w:t>and</w:t>
      </w:r>
      <w:proofErr w:type="gramEnd"/>
      <w:r w:rsidR="00BC6DFE">
        <w:rPr>
          <w:lang w:val="en-US"/>
        </w:rPr>
        <w:t xml:space="preserve"> </w:t>
      </w:r>
      <w:r w:rsidR="007C5735" w:rsidRPr="007C5735">
        <w:rPr>
          <w:lang w:val="en-US"/>
        </w:rPr>
        <w:t>called for more coordination between the Budget and Appropriation Committee, which review</w:t>
      </w:r>
      <w:r w:rsidR="00BC6DFE">
        <w:rPr>
          <w:lang w:val="en-US"/>
        </w:rPr>
        <w:t>s</w:t>
      </w:r>
      <w:r w:rsidR="007C5735" w:rsidRPr="007C5735">
        <w:rPr>
          <w:lang w:val="en-US"/>
        </w:rPr>
        <w:t xml:space="preserve"> the BPS</w:t>
      </w:r>
      <w:r w:rsidR="00BC6DFE">
        <w:rPr>
          <w:lang w:val="en-US"/>
        </w:rPr>
        <w:t>,</w:t>
      </w:r>
      <w:r w:rsidR="007C5735" w:rsidRPr="007C5735">
        <w:rPr>
          <w:lang w:val="en-US"/>
        </w:rPr>
        <w:t xml:space="preserve"> and the Public Debt and Privatization committee, which reviews the MTDS. The Public Debt and Privatization Committee of the National Assembly acknowledged receipt of this submission in its report on the 2023 MTDS and some of the issues we raised feature in the report.</w:t>
      </w:r>
      <w:r w:rsidR="007C5735">
        <w:rPr>
          <w:lang w:val="en-US"/>
        </w:rPr>
        <w:t xml:space="preserve"> </w:t>
      </w:r>
      <w:r w:rsidRPr="00C25A4D">
        <w:rPr>
          <w:lang w:val="en-US"/>
        </w:rPr>
        <w:t>Other submissions were made at the county level under the TAP projects.</w:t>
      </w:r>
      <w:r>
        <w:rPr>
          <w:lang w:val="en-US"/>
        </w:rPr>
        <w:t xml:space="preserve">  Governments at both levels are less likely to reject civil society inputs than they were in the past.</w:t>
      </w:r>
    </w:p>
    <w:p w14:paraId="73F8735C" w14:textId="2E0A8030" w:rsidR="00C25A4D" w:rsidRPr="00C25A4D" w:rsidRDefault="00C25A4D" w:rsidP="005F7B50">
      <w:pPr>
        <w:jc w:val="both"/>
        <w:rPr>
          <w:lang w:val="en-US"/>
        </w:rPr>
      </w:pPr>
    </w:p>
    <w:p w14:paraId="2B2D20BC" w14:textId="52E6E12A" w:rsidR="00845366" w:rsidRPr="00845366" w:rsidRDefault="00CD5BE2" w:rsidP="005F7B50">
      <w:pPr>
        <w:jc w:val="both"/>
        <w:rPr>
          <w:lang w:val="en-US"/>
        </w:rPr>
      </w:pPr>
      <w:r w:rsidRPr="00BE7293">
        <w:rPr>
          <w:b/>
          <w:bCs/>
          <w:lang w:val="en-US"/>
        </w:rPr>
        <w:t xml:space="preserve">Both government and the public increasingly understand the urgency </w:t>
      </w:r>
      <w:r w:rsidR="00845366" w:rsidRPr="00BE7293">
        <w:rPr>
          <w:b/>
          <w:bCs/>
          <w:lang w:val="en-US"/>
        </w:rPr>
        <w:t xml:space="preserve">of financing climate mitigation and adaptation.  </w:t>
      </w:r>
      <w:r w:rsidR="00845366" w:rsidRPr="00BE7293">
        <w:rPr>
          <w:lang w:val="en-US"/>
        </w:rPr>
        <w:t xml:space="preserve">Recent years have seen more global focus on how to finance the vast needs of low and middle-income countries to adapt to climate change.  Kenya’s government has </w:t>
      </w:r>
      <w:r>
        <w:rPr>
          <w:lang w:val="en-US"/>
        </w:rPr>
        <w:t xml:space="preserve">also </w:t>
      </w:r>
      <w:r w:rsidR="00845366" w:rsidRPr="00BE7293">
        <w:rPr>
          <w:lang w:val="en-US"/>
        </w:rPr>
        <w:t xml:space="preserve">positioned the country as a leader in representing African interests around climate, but there </w:t>
      </w:r>
      <w:r w:rsidR="009F6AFB">
        <w:rPr>
          <w:lang w:val="en-US"/>
        </w:rPr>
        <w:t xml:space="preserve">are gaps in the national response.  This has left </w:t>
      </w:r>
      <w:r w:rsidR="00845366" w:rsidRPr="00BE7293">
        <w:rPr>
          <w:lang w:val="en-US"/>
        </w:rPr>
        <w:t xml:space="preserve">a lot of room </w:t>
      </w:r>
      <w:r w:rsidR="009F6AFB">
        <w:rPr>
          <w:lang w:val="en-US"/>
        </w:rPr>
        <w:t>for civil society to</w:t>
      </w:r>
      <w:r w:rsidR="009F6AFB" w:rsidRPr="00BE7293">
        <w:rPr>
          <w:lang w:val="en-US"/>
        </w:rPr>
        <w:t xml:space="preserve"> </w:t>
      </w:r>
      <w:r w:rsidR="00845366" w:rsidRPr="00BE7293">
        <w:rPr>
          <w:lang w:val="en-US"/>
        </w:rPr>
        <w:t>focus on how the country is addressing climate</w:t>
      </w:r>
      <w:r w:rsidR="009F6AFB">
        <w:rPr>
          <w:lang w:val="en-US"/>
        </w:rPr>
        <w:t xml:space="preserve"> change</w:t>
      </w:r>
      <w:r w:rsidR="00845366" w:rsidRPr="00BE7293">
        <w:rPr>
          <w:lang w:val="en-US"/>
        </w:rPr>
        <w:t xml:space="preserve"> domestically, and where the financing will come from to</w:t>
      </w:r>
      <w:r w:rsidR="009F6AFB">
        <w:rPr>
          <w:lang w:val="en-US"/>
        </w:rPr>
        <w:t xml:space="preserve"> both refocus the national agenda on climate adaptation, and to</w:t>
      </w:r>
      <w:r w:rsidR="00845366" w:rsidRPr="00BE7293">
        <w:rPr>
          <w:lang w:val="en-US"/>
        </w:rPr>
        <w:t xml:space="preserve"> meet ambitious </w:t>
      </w:r>
      <w:r w:rsidR="009F6AFB">
        <w:rPr>
          <w:lang w:val="en-US"/>
        </w:rPr>
        <w:t xml:space="preserve">mitigation </w:t>
      </w:r>
      <w:r w:rsidR="00845366" w:rsidRPr="00BE7293">
        <w:rPr>
          <w:lang w:val="en-US"/>
        </w:rPr>
        <w:t xml:space="preserve">targets in Kenya’s National Climate Change Action Plan, </w:t>
      </w:r>
      <w:r w:rsidR="009F6AFB">
        <w:rPr>
          <w:lang w:val="en-US"/>
        </w:rPr>
        <w:t>which are linked to</w:t>
      </w:r>
      <w:r w:rsidR="00845366" w:rsidRPr="00BE7293">
        <w:rPr>
          <w:lang w:val="en-US"/>
        </w:rPr>
        <w:t xml:space="preserve"> international agreements.</w:t>
      </w:r>
    </w:p>
    <w:p w14:paraId="4D580126" w14:textId="29E2D1B2" w:rsidR="00C25A4D" w:rsidRPr="00C25A4D" w:rsidRDefault="00C25A4D" w:rsidP="005F7B50">
      <w:pPr>
        <w:jc w:val="both"/>
        <w:rPr>
          <w:lang w:val="en-US"/>
        </w:rPr>
      </w:pPr>
      <w:r w:rsidRPr="00C25A4D">
        <w:rPr>
          <w:lang w:val="en-US"/>
        </w:rPr>
        <w:t xml:space="preserve">  </w:t>
      </w:r>
    </w:p>
    <w:p w14:paraId="6B89666F" w14:textId="230955E2" w:rsidR="00C25A4D" w:rsidRDefault="00C25A4D" w:rsidP="005F7B50">
      <w:pPr>
        <w:pStyle w:val="Heading1"/>
        <w:numPr>
          <w:ilvl w:val="0"/>
          <w:numId w:val="1"/>
        </w:numPr>
        <w:jc w:val="both"/>
        <w:rPr>
          <w:lang w:val="en-US"/>
        </w:rPr>
      </w:pPr>
      <w:bookmarkStart w:id="4" w:name="_Toc149824896"/>
      <w:r>
        <w:rPr>
          <w:lang w:val="en-US"/>
        </w:rPr>
        <w:t>What has not changed?</w:t>
      </w:r>
      <w:bookmarkEnd w:id="4"/>
    </w:p>
    <w:p w14:paraId="4836B971" w14:textId="77777777" w:rsidR="00C25A4D" w:rsidRDefault="00C25A4D" w:rsidP="005F7B50">
      <w:pPr>
        <w:jc w:val="both"/>
        <w:rPr>
          <w:lang w:val="en-US"/>
        </w:rPr>
      </w:pPr>
    </w:p>
    <w:p w14:paraId="6F7C70B4" w14:textId="6AD94473" w:rsidR="00C51F77" w:rsidRDefault="00C51F77" w:rsidP="005F7B50">
      <w:pPr>
        <w:jc w:val="both"/>
        <w:rPr>
          <w:lang w:val="en-US"/>
        </w:rPr>
      </w:pPr>
      <w:r>
        <w:rPr>
          <w:lang w:val="en-US"/>
        </w:rPr>
        <w:t xml:space="preserve">While much has changed in the last decade, we remain far from realizing the principles of sound public financial management: Kenya’s budget is not sufficiently transparent, the country is saddled with high debts, there </w:t>
      </w:r>
      <w:r w:rsidR="00963044">
        <w:rPr>
          <w:lang w:val="en-US"/>
        </w:rPr>
        <w:t>is persistently</w:t>
      </w:r>
      <w:r>
        <w:rPr>
          <w:lang w:val="en-US"/>
        </w:rPr>
        <w:t xml:space="preserve"> low budget execution, and there is little accountability for government performance.  In this section, we describe the weaknesses in Kenya’s PFM system across our six core principles.</w:t>
      </w:r>
    </w:p>
    <w:p w14:paraId="5A88117E" w14:textId="77777777" w:rsidR="00C51F77" w:rsidRDefault="00C51F77" w:rsidP="005F7B50">
      <w:pPr>
        <w:jc w:val="both"/>
        <w:rPr>
          <w:lang w:val="en-US"/>
        </w:rPr>
      </w:pPr>
    </w:p>
    <w:p w14:paraId="1FFC2F81" w14:textId="00B4FA56" w:rsidR="00C51F77" w:rsidRDefault="00C51F77" w:rsidP="005F7B50">
      <w:pPr>
        <w:jc w:val="both"/>
        <w:rPr>
          <w:lang w:val="en-US"/>
        </w:rPr>
      </w:pPr>
      <w:r w:rsidRPr="00C51F77">
        <w:rPr>
          <w:b/>
          <w:bCs/>
          <w:lang w:val="en-US"/>
        </w:rPr>
        <w:t>Transparency.</w:t>
      </w:r>
      <w:r>
        <w:rPr>
          <w:lang w:val="en-US"/>
        </w:rPr>
        <w:t xml:space="preserve">  </w:t>
      </w:r>
      <w:r w:rsidRPr="00C51F77">
        <w:rPr>
          <w:lang w:val="en-US"/>
        </w:rPr>
        <w:t>Kenya’s score in the Open Budget Survey stands at 50 percent as of 2021, indicating that the public does not have half of the information on the decisions that the</w:t>
      </w:r>
      <w:r>
        <w:rPr>
          <w:lang w:val="en-US"/>
        </w:rPr>
        <w:t xml:space="preserve"> national</w:t>
      </w:r>
      <w:r w:rsidRPr="00C51F77">
        <w:rPr>
          <w:lang w:val="en-US"/>
        </w:rPr>
        <w:t xml:space="preserve"> government makes on their behalf. The lack of transparency extends to county governments as revealed by the 2022 County Budget Transparency Survey (CBTS), where the counties cumulatively had a transparency score of 41 percent.</w:t>
      </w:r>
      <w:r>
        <w:rPr>
          <w:lang w:val="en-US"/>
        </w:rPr>
        <w:t xml:space="preserve">  Budget documents are either not produced, or are produced late and are of low quality.</w:t>
      </w:r>
      <w:r w:rsidRPr="00C51F77">
        <w:t xml:space="preserve"> </w:t>
      </w:r>
      <w:r w:rsidRPr="00C51F77">
        <w:rPr>
          <w:lang w:val="en-US"/>
        </w:rPr>
        <w:t>Half of the counties that published a citizen’s budget</w:t>
      </w:r>
      <w:r>
        <w:rPr>
          <w:lang w:val="en-US"/>
        </w:rPr>
        <w:t xml:space="preserve"> in 2021/22</w:t>
      </w:r>
      <w:r w:rsidRPr="00C51F77">
        <w:rPr>
          <w:lang w:val="en-US"/>
        </w:rPr>
        <w:t xml:space="preserve"> provide</w:t>
      </w:r>
      <w:r>
        <w:rPr>
          <w:lang w:val="en-US"/>
        </w:rPr>
        <w:t>d</w:t>
      </w:r>
      <w:r w:rsidRPr="00C51F77">
        <w:rPr>
          <w:lang w:val="en-US"/>
        </w:rPr>
        <w:t xml:space="preserve"> less than </w:t>
      </w:r>
      <w:r>
        <w:rPr>
          <w:lang w:val="en-US"/>
        </w:rPr>
        <w:t>50%</w:t>
      </w:r>
      <w:r w:rsidRPr="00C51F77">
        <w:rPr>
          <w:lang w:val="en-US"/>
        </w:rPr>
        <w:t xml:space="preserve"> of the information required.</w:t>
      </w:r>
    </w:p>
    <w:p w14:paraId="15DCB08B" w14:textId="665C4667" w:rsidR="00C51F77" w:rsidRDefault="00E268B4" w:rsidP="005F7B50">
      <w:pPr>
        <w:jc w:val="both"/>
        <w:rPr>
          <w:lang w:val="en-US"/>
        </w:rPr>
      </w:pPr>
      <w:r w:rsidRPr="00C51F77">
        <w:rPr>
          <w:b/>
          <w:bCs/>
          <w:lang w:val="en-US"/>
        </w:rPr>
        <w:t>Participation</w:t>
      </w:r>
      <w:r>
        <w:rPr>
          <w:lang w:val="en-US"/>
        </w:rPr>
        <w:t xml:space="preserve">.  While formal opportunities for public participation have grown under the 2010 constitution, participation remains limited.  Even among citizens who understand the importance of public engagement in the budget, only a quarter of those surveyed in a recent OAG report actually participated.  This reflects in part the ineffectiveness of existing institutions, such as County Budget and Economic Forums, which are often </w:t>
      </w:r>
      <w:r w:rsidRPr="006C6F7A">
        <w:rPr>
          <w:lang w:val="en-US"/>
        </w:rPr>
        <w:t xml:space="preserve">left out in the formulation of </w:t>
      </w:r>
      <w:r>
        <w:rPr>
          <w:lang w:val="en-US"/>
        </w:rPr>
        <w:t>key budget documents</w:t>
      </w:r>
      <w:r w:rsidR="00BC6DFE">
        <w:rPr>
          <w:lang w:val="en-US"/>
        </w:rPr>
        <w:t xml:space="preserve"> like</w:t>
      </w:r>
      <w:r>
        <w:rPr>
          <w:lang w:val="en-US"/>
        </w:rPr>
        <w:t xml:space="preserve"> the</w:t>
      </w:r>
      <w:r w:rsidRPr="006C6F7A">
        <w:rPr>
          <w:lang w:val="en-US"/>
        </w:rPr>
        <w:t xml:space="preserve"> County Fiscal Strategy Paper (CFSP) and the Budget Review </w:t>
      </w:r>
      <w:r>
        <w:rPr>
          <w:lang w:val="en-US"/>
        </w:rPr>
        <w:t xml:space="preserve">and </w:t>
      </w:r>
      <w:r w:rsidRPr="006C6F7A">
        <w:rPr>
          <w:lang w:val="en-US"/>
        </w:rPr>
        <w:t xml:space="preserve">Outlook Paper (CBROP). CBEFs routinely fail to convene </w:t>
      </w:r>
      <w:r>
        <w:rPr>
          <w:lang w:val="en-US"/>
        </w:rPr>
        <w:t xml:space="preserve">public </w:t>
      </w:r>
      <w:r w:rsidRPr="006C6F7A">
        <w:rPr>
          <w:lang w:val="en-US"/>
        </w:rPr>
        <w:t>meetings, as stipulated in the regulations</w:t>
      </w:r>
      <w:r>
        <w:rPr>
          <w:lang w:val="en-US"/>
        </w:rPr>
        <w:t>, so citizens are not able to make use of these forums to participate meaningfully</w:t>
      </w:r>
      <w:r w:rsidRPr="006C6F7A">
        <w:rPr>
          <w:lang w:val="en-US"/>
        </w:rPr>
        <w:t xml:space="preserve">. </w:t>
      </w:r>
      <w:r>
        <w:rPr>
          <w:lang w:val="en-US"/>
        </w:rPr>
        <w:t xml:space="preserve">  Even when citizens do participate, they find that changes to the budget are made later during budget implementation and through supplementary budgets, in which there is much less participation.  This is changing slowly: citizens were given an opportunity to engage in the 2022/23 supplementary</w:t>
      </w:r>
      <w:r w:rsidR="00BC6DFE">
        <w:rPr>
          <w:lang w:val="en-US"/>
        </w:rPr>
        <w:t xml:space="preserve"> budget at national level</w:t>
      </w:r>
      <w:r>
        <w:rPr>
          <w:lang w:val="en-US"/>
        </w:rPr>
        <w:t>.</w:t>
      </w:r>
      <w:r w:rsidR="00BC6DFE">
        <w:rPr>
          <w:lang w:val="en-US"/>
        </w:rPr>
        <w:t xml:space="preserve">  But much more is needed for effective participation.</w:t>
      </w:r>
    </w:p>
    <w:p w14:paraId="3DCB0089" w14:textId="455566D8" w:rsidR="00C51F77" w:rsidRDefault="00C51F77" w:rsidP="005F7B50">
      <w:pPr>
        <w:jc w:val="both"/>
        <w:rPr>
          <w:lang w:val="en-US"/>
        </w:rPr>
      </w:pPr>
      <w:r w:rsidRPr="00C51F77">
        <w:rPr>
          <w:b/>
          <w:bCs/>
          <w:lang w:val="en-US"/>
        </w:rPr>
        <w:lastRenderedPageBreak/>
        <w:t>Accountability.</w:t>
      </w:r>
      <w:r>
        <w:rPr>
          <w:lang w:val="en-US"/>
        </w:rPr>
        <w:t xml:space="preserve">  Lack of transparency makes it difficult to hold government accountable for performance in areas ranging from debt to service delivery.  Weak oversight by Parliament and the Office of the Auditor General means that breaches of the law or policy </w:t>
      </w:r>
      <w:r w:rsidR="00BC6DFE">
        <w:rPr>
          <w:lang w:val="en-US"/>
        </w:rPr>
        <w:t>do not result in</w:t>
      </w:r>
      <w:r>
        <w:rPr>
          <w:lang w:val="en-US"/>
        </w:rPr>
        <w:t xml:space="preserve"> sanctio</w:t>
      </w:r>
      <w:r w:rsidR="00BC6DFE">
        <w:rPr>
          <w:lang w:val="en-US"/>
        </w:rPr>
        <w:t>ns</w:t>
      </w:r>
      <w:r>
        <w:rPr>
          <w:lang w:val="en-US"/>
        </w:rPr>
        <w:t>.  Performance information that is generated during the budget process is also not used to hold MDAs to account and does not have a direct influence on their budgets.  Citizen engagement is weak during budget implementation, leading to a lack of pressure on government and oversight institutions to do their jobs.</w:t>
      </w:r>
    </w:p>
    <w:p w14:paraId="503B2AB8" w14:textId="70C317B9" w:rsidR="00C51F77" w:rsidRDefault="00C51F77" w:rsidP="005F7B50">
      <w:pPr>
        <w:jc w:val="both"/>
        <w:rPr>
          <w:lang w:val="en-US"/>
        </w:rPr>
      </w:pPr>
      <w:r w:rsidRPr="00256A4B">
        <w:rPr>
          <w:b/>
          <w:bCs/>
          <w:lang w:val="en-US"/>
        </w:rPr>
        <w:t>Equity</w:t>
      </w:r>
      <w:r>
        <w:rPr>
          <w:lang w:val="en-US"/>
        </w:rPr>
        <w:t>.</w:t>
      </w:r>
      <w:r w:rsidR="00256A4B">
        <w:rPr>
          <w:lang w:val="en-US"/>
        </w:rPr>
        <w:t xml:space="preserve">  Kenya has made strides in reducing regional inequality, and gender inequality.  But much work remains.  Although several efforts have been made to introduce gender responsive budgeting in Kenya, these have not gone far.  Budgets for women-related programs have tended to fall short during budget implementation as well.  With respect to regional inequality, the CRA formula has ensured that there is much greater equity in the distribution of county funds in Kenya today.  However, the vast majority of public spending remains national, and the distribution of this spending does not appear to be highly equitable.  This means that regional inequalities persist in access to water, health care, and other basic services.  Finally, while the Kenyan tax system is progressive in some ways, there is evidence that tax expenditures tend to benefit wealthy interests.  The wealthy are also able to take advantage of the system to avoid paying taxes, while regressive taxes, like VAT, fall more heavily on low-income Kenyans, and women.</w:t>
      </w:r>
    </w:p>
    <w:p w14:paraId="149120BD" w14:textId="362EB45E" w:rsidR="00C51F77" w:rsidRDefault="00C51F77" w:rsidP="005F7B50">
      <w:pPr>
        <w:jc w:val="both"/>
        <w:rPr>
          <w:lang w:val="en-US"/>
        </w:rPr>
      </w:pPr>
      <w:r w:rsidRPr="00B478CB">
        <w:rPr>
          <w:b/>
          <w:bCs/>
          <w:lang w:val="en-US"/>
        </w:rPr>
        <w:t>Efficiency</w:t>
      </w:r>
      <w:r>
        <w:rPr>
          <w:lang w:val="en-US"/>
        </w:rPr>
        <w:t>.</w:t>
      </w:r>
      <w:r w:rsidR="00B478CB">
        <w:rPr>
          <w:lang w:val="en-US"/>
        </w:rPr>
        <w:t xml:space="preserve">  </w:t>
      </w:r>
      <w:r w:rsidR="001206D7">
        <w:rPr>
          <w:lang w:val="en-US"/>
        </w:rPr>
        <w:t xml:space="preserve">Efficiency can mean many different things, but for IPF, it is principally about value for money in public expenditure.  When public money is spent, we should spend as little as needed to get results.  This means using efficient procedures, such as competitive bidding for public tenders, and controlling wasteful expenditures, such as excessive foreign travel.  </w:t>
      </w:r>
      <w:r w:rsidR="00805E3E">
        <w:rPr>
          <w:lang w:val="en-US"/>
        </w:rPr>
        <w:t xml:space="preserve">It also means avoiding duplication of roles, something that continues today as national state corporations still carry out functions that should have been devolved to counties.  </w:t>
      </w:r>
      <w:r w:rsidR="00FC0906">
        <w:rPr>
          <w:lang w:val="en-US"/>
        </w:rPr>
        <w:t xml:space="preserve">Inconsistent budget preferences </w:t>
      </w:r>
      <w:r w:rsidR="0056627F">
        <w:rPr>
          <w:lang w:val="en-US"/>
        </w:rPr>
        <w:t xml:space="preserve">by citizens </w:t>
      </w:r>
      <w:r w:rsidR="00FC0906">
        <w:rPr>
          <w:lang w:val="en-US"/>
        </w:rPr>
        <w:t>that lead to stalled projects are also a source of inefficiency.</w:t>
      </w:r>
      <w:r w:rsidR="0056627F">
        <w:rPr>
          <w:lang w:val="en-US"/>
        </w:rPr>
        <w:t xml:space="preserve"> </w:t>
      </w:r>
      <w:r w:rsidR="00AA0207">
        <w:rPr>
          <w:lang w:val="en-US"/>
        </w:rPr>
        <w:t xml:space="preserve"> Sometimes citizen views shift before projects are completed, which can lead government to stop funding ongoing projects in favor or new ones.  Lack of education on the part of citizens means that these inefficiencies are not always understood.</w:t>
      </w:r>
    </w:p>
    <w:p w14:paraId="4C2284BC" w14:textId="4D250337" w:rsidR="00C51F77" w:rsidRDefault="00C51F77" w:rsidP="005F7B50">
      <w:pPr>
        <w:jc w:val="both"/>
        <w:rPr>
          <w:lang w:val="en-US"/>
        </w:rPr>
      </w:pPr>
      <w:r w:rsidRPr="00B478CB">
        <w:rPr>
          <w:b/>
          <w:bCs/>
          <w:lang w:val="en-US"/>
        </w:rPr>
        <w:t>Effectiveness</w:t>
      </w:r>
      <w:r>
        <w:rPr>
          <w:lang w:val="en-US"/>
        </w:rPr>
        <w:t>.</w:t>
      </w:r>
      <w:r w:rsidR="00ED54B8">
        <w:rPr>
          <w:lang w:val="en-US"/>
        </w:rPr>
        <w:t xml:space="preserve">  Budget effectiveness means that budgets are implemented as planned, and achieve desired outcomes.  In Kenya today, budgets are not implemented consistently (there is low budget credibility) and performance indicators are not met even when budgets are spent. </w:t>
      </w:r>
      <w:r w:rsidR="00E413E0" w:rsidRPr="00E413E0">
        <w:rPr>
          <w:lang w:val="en-US"/>
        </w:rPr>
        <w:t xml:space="preserve">For example, </w:t>
      </w:r>
      <w:r w:rsidR="00E413E0">
        <w:rPr>
          <w:lang w:val="en-US"/>
        </w:rPr>
        <w:t xml:space="preserve">in </w:t>
      </w:r>
      <w:r w:rsidR="00E413E0" w:rsidRPr="00E413E0">
        <w:rPr>
          <w:lang w:val="en-US"/>
        </w:rPr>
        <w:t xml:space="preserve">FY 2021/22, most programs in the </w:t>
      </w:r>
      <w:r w:rsidR="00E413E0">
        <w:rPr>
          <w:lang w:val="en-US"/>
        </w:rPr>
        <w:t>agriculture</w:t>
      </w:r>
      <w:r w:rsidR="00E413E0" w:rsidRPr="00E413E0">
        <w:rPr>
          <w:lang w:val="en-US"/>
        </w:rPr>
        <w:t xml:space="preserve"> sector posted low achievement of Key Performance Indicators</w:t>
      </w:r>
      <w:r w:rsidR="00E413E0">
        <w:rPr>
          <w:lang w:val="en-US"/>
        </w:rPr>
        <w:t xml:space="preserve"> (average 55 percent achievement), yet budget</w:t>
      </w:r>
      <w:r w:rsidR="00E413E0" w:rsidRPr="00E413E0">
        <w:rPr>
          <w:lang w:val="en-US"/>
        </w:rPr>
        <w:t xml:space="preserve"> absorption rates were high (ranging between 84 and 100 percent).</w:t>
      </w:r>
      <w:r w:rsidR="00ED54B8">
        <w:rPr>
          <w:lang w:val="en-US"/>
        </w:rPr>
        <w:t xml:space="preserve"> </w:t>
      </w:r>
      <w:r w:rsidR="00B478CB">
        <w:rPr>
          <w:lang w:val="en-US"/>
        </w:rPr>
        <w:t xml:space="preserve"> Government policies often do not seem to be well-thought out: tax expenditures, for example, lack a clear policy basis, and tax policy is constantly changing, suggesting a reactive rather than proactive strategy to revenue raising.</w:t>
      </w:r>
    </w:p>
    <w:p w14:paraId="3997DAF4" w14:textId="77777777" w:rsidR="002519FD" w:rsidRDefault="002519FD" w:rsidP="005F7B50">
      <w:pPr>
        <w:jc w:val="both"/>
        <w:rPr>
          <w:lang w:val="en-US"/>
        </w:rPr>
      </w:pPr>
    </w:p>
    <w:p w14:paraId="038E2A0B" w14:textId="77777777" w:rsidR="002519FD" w:rsidRDefault="002519FD" w:rsidP="005F7B50">
      <w:pPr>
        <w:pStyle w:val="Heading1"/>
        <w:numPr>
          <w:ilvl w:val="0"/>
          <w:numId w:val="1"/>
        </w:numPr>
        <w:jc w:val="both"/>
        <w:rPr>
          <w:lang w:val="en-US"/>
        </w:rPr>
      </w:pPr>
      <w:bookmarkStart w:id="5" w:name="_Toc149824897"/>
      <w:r>
        <w:rPr>
          <w:lang w:val="en-US"/>
        </w:rPr>
        <w:t>What is our vision?</w:t>
      </w:r>
      <w:bookmarkEnd w:id="5"/>
    </w:p>
    <w:p w14:paraId="2A920D28" w14:textId="77777777" w:rsidR="006E79D3" w:rsidRDefault="006E79D3" w:rsidP="005F7B50">
      <w:pPr>
        <w:jc w:val="both"/>
        <w:rPr>
          <w:lang w:val="en-US"/>
        </w:rPr>
      </w:pPr>
    </w:p>
    <w:p w14:paraId="2B538E9F" w14:textId="77777777" w:rsidR="006E79D3" w:rsidRDefault="006E79D3" w:rsidP="005F7B50">
      <w:pPr>
        <w:jc w:val="both"/>
        <w:rPr>
          <w:lang w:val="en-US"/>
        </w:rPr>
      </w:pPr>
      <w:r>
        <w:rPr>
          <w:lang w:val="en-US"/>
        </w:rPr>
        <w:t xml:space="preserve">Our vision is of a Kenya where all of the core principles of public finance are realized: </w:t>
      </w:r>
    </w:p>
    <w:p w14:paraId="0F16C250" w14:textId="04871E0B" w:rsidR="006E79D3" w:rsidRPr="006E79D3" w:rsidRDefault="006E79D3" w:rsidP="005F7B50">
      <w:pPr>
        <w:pStyle w:val="ListParagraph"/>
        <w:numPr>
          <w:ilvl w:val="0"/>
          <w:numId w:val="2"/>
        </w:numPr>
        <w:jc w:val="both"/>
        <w:rPr>
          <w:lang w:val="en-US"/>
        </w:rPr>
      </w:pPr>
      <w:r w:rsidRPr="006E79D3">
        <w:rPr>
          <w:lang w:val="en-US"/>
        </w:rPr>
        <w:t>public finances are transparent</w:t>
      </w:r>
      <w:r w:rsidR="00E268B4">
        <w:rPr>
          <w:lang w:val="en-US"/>
        </w:rPr>
        <w:t>, and information is accessible and released timeously</w:t>
      </w:r>
      <w:r w:rsidRPr="006E79D3">
        <w:rPr>
          <w:lang w:val="en-US"/>
        </w:rPr>
        <w:t xml:space="preserve"> </w:t>
      </w:r>
    </w:p>
    <w:p w14:paraId="7FAE14AF" w14:textId="5E760085" w:rsidR="006E79D3" w:rsidRPr="006E79D3" w:rsidRDefault="006E79D3" w:rsidP="005F7B50">
      <w:pPr>
        <w:pStyle w:val="ListParagraph"/>
        <w:numPr>
          <w:ilvl w:val="0"/>
          <w:numId w:val="2"/>
        </w:numPr>
        <w:jc w:val="both"/>
        <w:rPr>
          <w:lang w:val="en-US"/>
        </w:rPr>
      </w:pPr>
      <w:r w:rsidRPr="006E79D3">
        <w:rPr>
          <w:lang w:val="en-US"/>
        </w:rPr>
        <w:t>citizens participate actively to make their preferences know</w:t>
      </w:r>
      <w:r>
        <w:rPr>
          <w:lang w:val="en-US"/>
        </w:rPr>
        <w:t>n</w:t>
      </w:r>
      <w:r w:rsidRPr="006E79D3">
        <w:rPr>
          <w:lang w:val="en-US"/>
        </w:rPr>
        <w:t xml:space="preserve"> and to monitor performance</w:t>
      </w:r>
    </w:p>
    <w:p w14:paraId="25A514B1" w14:textId="77777777" w:rsidR="006E79D3" w:rsidRDefault="006E79D3" w:rsidP="005F7B50">
      <w:pPr>
        <w:pStyle w:val="ListParagraph"/>
        <w:numPr>
          <w:ilvl w:val="0"/>
          <w:numId w:val="2"/>
        </w:numPr>
        <w:jc w:val="both"/>
        <w:rPr>
          <w:lang w:val="en-US"/>
        </w:rPr>
      </w:pPr>
      <w:r w:rsidRPr="006E79D3">
        <w:rPr>
          <w:lang w:val="en-US"/>
        </w:rPr>
        <w:t>government officials are held accountable for the decisions they make about public money</w:t>
      </w:r>
    </w:p>
    <w:p w14:paraId="570D9D56" w14:textId="4FFF7A91" w:rsidR="006E79D3" w:rsidRDefault="006E79D3" w:rsidP="005F7B50">
      <w:pPr>
        <w:pStyle w:val="ListParagraph"/>
        <w:numPr>
          <w:ilvl w:val="0"/>
          <w:numId w:val="2"/>
        </w:numPr>
        <w:jc w:val="both"/>
        <w:rPr>
          <w:lang w:val="en-US"/>
        </w:rPr>
      </w:pPr>
      <w:r>
        <w:rPr>
          <w:lang w:val="en-US"/>
        </w:rPr>
        <w:lastRenderedPageBreak/>
        <w:t>public spending addresses gender and regional inequalities and contributes to greater social cohesion</w:t>
      </w:r>
    </w:p>
    <w:p w14:paraId="3B0F2219" w14:textId="5EE174F1" w:rsidR="006E79D3" w:rsidRDefault="006E79D3" w:rsidP="005F7B50">
      <w:pPr>
        <w:pStyle w:val="ListParagraph"/>
        <w:numPr>
          <w:ilvl w:val="0"/>
          <w:numId w:val="2"/>
        </w:numPr>
        <w:jc w:val="both"/>
        <w:rPr>
          <w:lang w:val="en-US"/>
        </w:rPr>
      </w:pPr>
      <w:r>
        <w:rPr>
          <w:lang w:val="en-US"/>
        </w:rPr>
        <w:t xml:space="preserve">government revenue and spending policies follow clear plans, achieve their targets, and </w:t>
      </w:r>
      <w:r w:rsidR="00E268B4">
        <w:rPr>
          <w:lang w:val="en-US"/>
        </w:rPr>
        <w:t xml:space="preserve">are </w:t>
      </w:r>
      <w:r>
        <w:rPr>
          <w:lang w:val="en-US"/>
        </w:rPr>
        <w:t>revise</w:t>
      </w:r>
      <w:r w:rsidR="00E268B4">
        <w:rPr>
          <w:lang w:val="en-US"/>
        </w:rPr>
        <w:t>d</w:t>
      </w:r>
      <w:r>
        <w:rPr>
          <w:lang w:val="en-US"/>
        </w:rPr>
        <w:t xml:space="preserve"> </w:t>
      </w:r>
      <w:r w:rsidR="00E268B4">
        <w:rPr>
          <w:lang w:val="en-US"/>
        </w:rPr>
        <w:t xml:space="preserve">whenever necessary </w:t>
      </w:r>
    </w:p>
    <w:p w14:paraId="562706B5" w14:textId="0A503372" w:rsidR="006E79D3" w:rsidRDefault="006E79D3" w:rsidP="005F7B50">
      <w:pPr>
        <w:pStyle w:val="ListParagraph"/>
        <w:numPr>
          <w:ilvl w:val="0"/>
          <w:numId w:val="2"/>
        </w:numPr>
        <w:jc w:val="both"/>
        <w:rPr>
          <w:lang w:val="en-US"/>
        </w:rPr>
      </w:pPr>
      <w:r>
        <w:rPr>
          <w:lang w:val="en-US"/>
        </w:rPr>
        <w:t>government resources are used wisely to deliver maximum value at minimum cost</w:t>
      </w:r>
    </w:p>
    <w:p w14:paraId="6BDE2C6B" w14:textId="77777777" w:rsidR="006E79D3" w:rsidRDefault="006E79D3" w:rsidP="005F7B50">
      <w:pPr>
        <w:jc w:val="both"/>
        <w:rPr>
          <w:lang w:val="en-US"/>
        </w:rPr>
      </w:pPr>
    </w:p>
    <w:p w14:paraId="3D6B0623" w14:textId="389CA235" w:rsidR="00510392" w:rsidRDefault="00510392" w:rsidP="005F7B50">
      <w:pPr>
        <w:jc w:val="both"/>
        <w:rPr>
          <w:lang w:val="en-US"/>
        </w:rPr>
      </w:pPr>
      <w:r>
        <w:rPr>
          <w:lang w:val="en-US"/>
        </w:rPr>
        <w:t xml:space="preserve">Our </w:t>
      </w:r>
      <w:r w:rsidRPr="00E268B4">
        <w:rPr>
          <w:b/>
          <w:bCs/>
          <w:lang w:val="en-US"/>
        </w:rPr>
        <w:t>mission</w:t>
      </w:r>
      <w:r>
        <w:rPr>
          <w:lang w:val="en-US"/>
        </w:rPr>
        <w:t xml:space="preserve"> is to be the preeminent public finance think tank, contributing through our research, capacity building and advocacy to the continuous improvement of Kenya’s public finances.</w:t>
      </w:r>
    </w:p>
    <w:p w14:paraId="573EC14F" w14:textId="77777777" w:rsidR="00510392" w:rsidRDefault="00510392" w:rsidP="005F7B50">
      <w:pPr>
        <w:jc w:val="both"/>
        <w:rPr>
          <w:lang w:val="en-US"/>
        </w:rPr>
      </w:pPr>
    </w:p>
    <w:p w14:paraId="3D85DEE5" w14:textId="735B819F" w:rsidR="00510392" w:rsidRDefault="00510392" w:rsidP="005F7B50">
      <w:pPr>
        <w:pStyle w:val="Heading1"/>
        <w:numPr>
          <w:ilvl w:val="0"/>
          <w:numId w:val="1"/>
        </w:numPr>
        <w:jc w:val="both"/>
        <w:rPr>
          <w:lang w:val="en-US"/>
        </w:rPr>
      </w:pPr>
      <w:bookmarkStart w:id="6" w:name="_Toc149824898"/>
      <w:r>
        <w:rPr>
          <w:lang w:val="en-US"/>
        </w:rPr>
        <w:t>What is our theory of change?</w:t>
      </w:r>
      <w:bookmarkEnd w:id="6"/>
    </w:p>
    <w:p w14:paraId="3A48B428" w14:textId="4F6A5684" w:rsidR="00C25A4D" w:rsidRDefault="006E79D3" w:rsidP="005F7B50">
      <w:pPr>
        <w:jc w:val="both"/>
        <w:rPr>
          <w:lang w:val="en-US"/>
        </w:rPr>
      </w:pPr>
      <w:r w:rsidRPr="00510392">
        <w:rPr>
          <w:lang w:val="en-US"/>
        </w:rPr>
        <w:t xml:space="preserve"> </w:t>
      </w:r>
      <w:r w:rsidR="00C51F77" w:rsidRPr="00510392">
        <w:rPr>
          <w:lang w:val="en-US"/>
        </w:rPr>
        <w:t xml:space="preserve"> </w:t>
      </w:r>
    </w:p>
    <w:p w14:paraId="6EB77664" w14:textId="77777777" w:rsidR="00A91930" w:rsidRPr="00BE7293" w:rsidRDefault="00A91930" w:rsidP="005F7B50">
      <w:pPr>
        <w:spacing w:before="240"/>
        <w:jc w:val="both"/>
        <w:rPr>
          <w:rFonts w:cstheme="minorHAnsi"/>
          <w:lang w:val="en-US"/>
        </w:rPr>
      </w:pPr>
      <w:r w:rsidRPr="00BE7293">
        <w:rPr>
          <w:rFonts w:cstheme="minorHAnsi"/>
          <w:b/>
          <w:bCs/>
          <w:u w:val="single"/>
          <w:lang w:val="en-US"/>
        </w:rPr>
        <w:t>IF</w:t>
      </w:r>
      <w:r w:rsidRPr="00BE7293">
        <w:rPr>
          <w:rFonts w:cstheme="minorHAnsi"/>
          <w:lang w:val="en-US"/>
        </w:rPr>
        <w:t xml:space="preserve">  governments’ capacities in the design and implementation of public finance management policies and decisions are strengthened at both levels of government; </w:t>
      </w:r>
      <w:r w:rsidRPr="00BE7293">
        <w:rPr>
          <w:rFonts w:cstheme="minorHAnsi"/>
          <w:b/>
          <w:bCs/>
          <w:u w:val="single"/>
          <w:lang w:val="en-US"/>
        </w:rPr>
        <w:t>IF</w:t>
      </w:r>
      <w:r w:rsidRPr="00BE7293">
        <w:rPr>
          <w:rFonts w:cstheme="minorHAnsi"/>
          <w:lang w:val="en-US"/>
        </w:rPr>
        <w:t xml:space="preserve"> the citizen’s capacity to engage in public finance decisions is enhanced; </w:t>
      </w:r>
      <w:r w:rsidRPr="00BE7293">
        <w:rPr>
          <w:rFonts w:cstheme="minorHAnsi"/>
          <w:b/>
          <w:bCs/>
          <w:u w:val="single"/>
          <w:lang w:val="en-US"/>
        </w:rPr>
        <w:t>IF</w:t>
      </w:r>
      <w:r w:rsidRPr="00BE7293">
        <w:rPr>
          <w:rFonts w:cstheme="minorHAnsi"/>
          <w:lang w:val="en-US"/>
        </w:rPr>
        <w:t xml:space="preserve"> government institutions at both national and county levels provide opportunities for effective public participation in public finance management policies and decisions, </w:t>
      </w:r>
      <w:r w:rsidRPr="00BE7293">
        <w:rPr>
          <w:rFonts w:cstheme="minorHAnsi"/>
          <w:b/>
          <w:bCs/>
          <w:u w:val="single"/>
          <w:lang w:val="en-US"/>
        </w:rPr>
        <w:t>THEN</w:t>
      </w:r>
      <w:r w:rsidRPr="00BE7293">
        <w:rPr>
          <w:rFonts w:cstheme="minorHAnsi"/>
          <w:lang w:val="en-US"/>
        </w:rPr>
        <w:t xml:space="preserve"> public officials will be persuaded to design and implement equitable, effective and efficient public finance policies, that are transparent, participatory and aligned to citizens priorities.</w:t>
      </w:r>
    </w:p>
    <w:p w14:paraId="25CE745B" w14:textId="499FA03D" w:rsidR="00A91930" w:rsidRPr="00DD3E31" w:rsidRDefault="00A91930" w:rsidP="005F7B50">
      <w:pPr>
        <w:spacing w:before="240"/>
        <w:jc w:val="both"/>
        <w:rPr>
          <w:rFonts w:cstheme="minorHAnsi"/>
          <w:lang w:val="en-US"/>
        </w:rPr>
      </w:pPr>
      <w:r w:rsidRPr="00BE7293">
        <w:rPr>
          <w:rFonts w:cstheme="minorHAnsi"/>
          <w:b/>
          <w:bCs/>
          <w:u w:val="single"/>
          <w:lang w:val="en-US"/>
        </w:rPr>
        <w:t>IF</w:t>
      </w:r>
      <w:r w:rsidRPr="00BE7293">
        <w:rPr>
          <w:rFonts w:cstheme="minorHAnsi"/>
          <w:lang w:val="en-US"/>
        </w:rPr>
        <w:t xml:space="preserve"> citizens are apathetic or ethnically oriented voters, </w:t>
      </w:r>
      <w:r w:rsidRPr="00BE7293">
        <w:rPr>
          <w:rFonts w:cstheme="minorHAnsi"/>
          <w:b/>
          <w:bCs/>
          <w:u w:val="single"/>
          <w:lang w:val="en-US"/>
        </w:rPr>
        <w:t>IF</w:t>
      </w:r>
      <w:r w:rsidRPr="00BE7293">
        <w:rPr>
          <w:rFonts w:cstheme="minorHAnsi"/>
          <w:lang w:val="en-US"/>
        </w:rPr>
        <w:t xml:space="preserve"> public officials are driven by incentives of self-enrichment rather than the public interest, and </w:t>
      </w:r>
      <w:r w:rsidRPr="00BE7293">
        <w:rPr>
          <w:rFonts w:cstheme="minorHAnsi"/>
          <w:b/>
          <w:bCs/>
          <w:u w:val="single"/>
          <w:lang w:val="en-US"/>
        </w:rPr>
        <w:t>IF</w:t>
      </w:r>
      <w:r w:rsidRPr="00BE7293">
        <w:rPr>
          <w:rFonts w:cstheme="minorHAnsi"/>
          <w:lang w:val="en-US"/>
        </w:rPr>
        <w:t xml:space="preserve"> institutions are seen primarily as tools for advancing the political careers of politicians, </w:t>
      </w:r>
      <w:r w:rsidRPr="00BE7293">
        <w:rPr>
          <w:rFonts w:cstheme="minorHAnsi"/>
          <w:b/>
          <w:bCs/>
          <w:u w:val="single"/>
          <w:lang w:val="en-US"/>
        </w:rPr>
        <w:t>THEN</w:t>
      </w:r>
      <w:r w:rsidRPr="00BE7293">
        <w:rPr>
          <w:rFonts w:cstheme="minorHAnsi"/>
          <w:lang w:val="en-US"/>
        </w:rPr>
        <w:t xml:space="preserve"> public finance policies will be inequitable, ineffective, inefficient, unaccountable, and unresponsive to citizen’s priorities.</w:t>
      </w:r>
    </w:p>
    <w:p w14:paraId="05CBAD92" w14:textId="16587F8A" w:rsidR="00A91930" w:rsidRPr="00DD3E31" w:rsidRDefault="00A91930" w:rsidP="005F7B50">
      <w:pPr>
        <w:spacing w:before="240"/>
        <w:jc w:val="both"/>
        <w:rPr>
          <w:rFonts w:cstheme="minorHAnsi"/>
          <w:lang w:val="en-US"/>
        </w:rPr>
      </w:pPr>
      <w:r w:rsidRPr="00DD3E31">
        <w:rPr>
          <w:rFonts w:cstheme="minorHAnsi"/>
          <w:lang w:val="en-US"/>
        </w:rPr>
        <w:t xml:space="preserve">The theory of change explains how IPF’s core activities—research, capacity-building, </w:t>
      </w:r>
      <w:proofErr w:type="gramStart"/>
      <w:r w:rsidRPr="00DD3E31">
        <w:rPr>
          <w:rFonts w:cstheme="minorHAnsi"/>
          <w:lang w:val="en-US"/>
        </w:rPr>
        <w:t>advocacy</w:t>
      </w:r>
      <w:proofErr w:type="gramEnd"/>
      <w:r w:rsidRPr="00DD3E31">
        <w:rPr>
          <w:rFonts w:cstheme="minorHAnsi"/>
          <w:lang w:val="en-US"/>
        </w:rPr>
        <w:t xml:space="preserve"> and coalition-building—can combine to achieve the vision we have.  To be sure, there are other strategies and approaches to change in the world that we do not embrace here.  IPF does not undertake strategic litigation, for example, nor do we organize street protests.  This is not because these forms of engagement are not important, but because they are not our area of expertise and experience.  Where it is necessary to our agenda to pursue such actions, we will partner with others that have the skills and experience</w:t>
      </w:r>
      <w:r w:rsidR="00F442CF" w:rsidRPr="00DD3E31">
        <w:rPr>
          <w:rFonts w:cstheme="minorHAnsi"/>
          <w:lang w:val="en-US"/>
        </w:rPr>
        <w:t xml:space="preserve"> to deploy such tactics</w:t>
      </w:r>
      <w:r w:rsidRPr="00DD3E31">
        <w:rPr>
          <w:rFonts w:cstheme="minorHAnsi"/>
          <w:lang w:val="en-US"/>
        </w:rPr>
        <w:t xml:space="preserve">.  </w:t>
      </w:r>
    </w:p>
    <w:p w14:paraId="50F92D79" w14:textId="77777777" w:rsidR="00AB597C" w:rsidRPr="00DD3E31" w:rsidRDefault="00A91930" w:rsidP="005F7B50">
      <w:pPr>
        <w:spacing w:before="240"/>
        <w:jc w:val="both"/>
        <w:rPr>
          <w:rFonts w:cstheme="minorHAnsi"/>
          <w:lang w:val="en-US"/>
        </w:rPr>
      </w:pPr>
      <w:r w:rsidRPr="00DD3E31">
        <w:rPr>
          <w:rFonts w:cstheme="minorHAnsi"/>
          <w:lang w:val="en-US"/>
        </w:rPr>
        <w:t>How does our theory of change guide us in t</w:t>
      </w:r>
      <w:r w:rsidR="00845366" w:rsidRPr="00DD3E31">
        <w:rPr>
          <w:rFonts w:cstheme="minorHAnsi"/>
          <w:lang w:val="en-US"/>
        </w:rPr>
        <w:t xml:space="preserve">erms of stakeholder engagement?  We know that change happens when there is movement on both the demand and supply side of public finance.  This means that governments and citizens have certain capacities, incentives and interests that align with better budgeting.  To make headway, we will need to work with organizations, such as </w:t>
      </w:r>
      <w:r w:rsidR="00AB597C" w:rsidRPr="00DD3E31">
        <w:rPr>
          <w:rFonts w:cstheme="minorHAnsi"/>
          <w:lang w:val="en-US"/>
        </w:rPr>
        <w:t>student groups</w:t>
      </w:r>
      <w:r w:rsidR="00845366" w:rsidRPr="00DD3E31">
        <w:rPr>
          <w:rFonts w:cstheme="minorHAnsi"/>
          <w:lang w:val="en-US"/>
        </w:rPr>
        <w:t xml:space="preserve">, interest groups (like private sector business associations) and </w:t>
      </w:r>
      <w:r w:rsidR="00AB597C" w:rsidRPr="00DD3E31">
        <w:rPr>
          <w:rFonts w:cstheme="minorHAnsi"/>
          <w:lang w:val="en-US"/>
        </w:rPr>
        <w:t>civil society organizations.  We will also need to work with government bodies like the Council of Governors, the Controller of Budget, the Commission on Revenue Allocation, and various government bodies that provide training and technical assistance.</w:t>
      </w:r>
    </w:p>
    <w:p w14:paraId="1DA6A91B" w14:textId="15AB7232" w:rsidR="00A91930" w:rsidRPr="00DD3E31" w:rsidRDefault="00AB597C" w:rsidP="005F7B50">
      <w:pPr>
        <w:spacing w:before="240"/>
        <w:jc w:val="both"/>
        <w:rPr>
          <w:rFonts w:cstheme="minorHAnsi"/>
          <w:lang w:val="en-US"/>
        </w:rPr>
      </w:pPr>
      <w:r w:rsidRPr="00DD3E31">
        <w:rPr>
          <w:rFonts w:cstheme="minorHAnsi"/>
          <w:lang w:val="en-US"/>
        </w:rPr>
        <w:t xml:space="preserve">During the first year of this new strategy, we will carry out a more comprehensive stakeholder mapping to identify the key stakeholders we need to engage to achieve each of our outcomes.  Nevertheless, our initial thinking about who we will work with is discussed in the next section under each outcome.    </w:t>
      </w:r>
    </w:p>
    <w:p w14:paraId="283DD337" w14:textId="5BBC308E" w:rsidR="00A91930" w:rsidRPr="00A91930" w:rsidRDefault="00A91930" w:rsidP="005F7B50">
      <w:pPr>
        <w:spacing w:before="240"/>
        <w:jc w:val="both"/>
        <w:rPr>
          <w:rFonts w:ascii="Garamond" w:hAnsi="Garamond"/>
          <w:b/>
          <w:bCs/>
          <w:lang w:val="en-US"/>
        </w:rPr>
      </w:pPr>
      <w:bookmarkStart w:id="7" w:name="_Hlk150150427"/>
    </w:p>
    <w:p w14:paraId="4E530CFA" w14:textId="6434BE7C" w:rsidR="00510392" w:rsidRDefault="00A91930" w:rsidP="005F7B50">
      <w:pPr>
        <w:pStyle w:val="Heading1"/>
        <w:numPr>
          <w:ilvl w:val="0"/>
          <w:numId w:val="1"/>
        </w:numPr>
        <w:jc w:val="both"/>
        <w:rPr>
          <w:lang w:val="en-US"/>
        </w:rPr>
      </w:pPr>
      <w:bookmarkStart w:id="8" w:name="_Toc149824899"/>
      <w:r>
        <w:rPr>
          <w:lang w:val="en-US"/>
        </w:rPr>
        <w:lastRenderedPageBreak/>
        <w:t>How will we apply our theory of change to achieve our goals across our core values?</w:t>
      </w:r>
      <w:bookmarkEnd w:id="8"/>
    </w:p>
    <w:p w14:paraId="6D0AA17C" w14:textId="77777777" w:rsidR="00806AE6" w:rsidRDefault="00806AE6" w:rsidP="005F7B50">
      <w:pPr>
        <w:jc w:val="both"/>
        <w:rPr>
          <w:lang w:val="en-US"/>
        </w:rPr>
      </w:pPr>
    </w:p>
    <w:p w14:paraId="241D3F7D" w14:textId="77777777" w:rsidR="004B0043" w:rsidRDefault="004B0043" w:rsidP="005F7B50">
      <w:pPr>
        <w:jc w:val="both"/>
        <w:rPr>
          <w:lang w:val="en-US"/>
        </w:rPr>
      </w:pPr>
      <w:r>
        <w:rPr>
          <w:lang w:val="en-US"/>
        </w:rPr>
        <w:t>This section provides further details about the kinds of outcomes we hope to achieve through our theory of change.  Our outcomes are closely tied to our core values.</w:t>
      </w:r>
    </w:p>
    <w:p w14:paraId="14F3F14B" w14:textId="77777777" w:rsidR="004B0043" w:rsidRDefault="004B0043" w:rsidP="005F7B50">
      <w:pPr>
        <w:jc w:val="both"/>
        <w:rPr>
          <w:lang w:val="en-US"/>
        </w:rPr>
      </w:pPr>
    </w:p>
    <w:p w14:paraId="6C14CDDF" w14:textId="77777777" w:rsidR="004B0043" w:rsidRPr="004B0043" w:rsidRDefault="004B0043" w:rsidP="005F7B50">
      <w:pPr>
        <w:pStyle w:val="Heading2"/>
        <w:jc w:val="both"/>
        <w:rPr>
          <w:lang w:val="en-US"/>
        </w:rPr>
      </w:pPr>
      <w:bookmarkStart w:id="9" w:name="_Toc149824900"/>
      <w:r w:rsidRPr="004B0043">
        <w:rPr>
          <w:lang w:val="en-US"/>
        </w:rPr>
        <w:t>Outcome 1: Improved budget transparency at national and county level</w:t>
      </w:r>
      <w:bookmarkEnd w:id="9"/>
    </w:p>
    <w:p w14:paraId="3CA0A613" w14:textId="77777777" w:rsidR="004B0043" w:rsidRDefault="004B0043" w:rsidP="005F7B50">
      <w:pPr>
        <w:jc w:val="both"/>
        <w:rPr>
          <w:lang w:val="en-US"/>
        </w:rPr>
      </w:pPr>
      <w:r>
        <w:rPr>
          <w:lang w:val="en-US"/>
        </w:rPr>
        <w:t>This outcome is about increasing the production of key budget documents, their comprehensiveness and quality, and their timeliness.</w:t>
      </w:r>
    </w:p>
    <w:p w14:paraId="5244407B" w14:textId="7AF8AB84" w:rsidR="004B0043" w:rsidRPr="004B0043" w:rsidRDefault="004B0043" w:rsidP="005F7B50">
      <w:pPr>
        <w:jc w:val="both"/>
        <w:rPr>
          <w:i/>
          <w:iCs/>
          <w:lang w:val="en-US"/>
        </w:rPr>
      </w:pPr>
      <w:r w:rsidRPr="004B0043">
        <w:rPr>
          <w:i/>
          <w:iCs/>
          <w:lang w:val="en-US"/>
        </w:rPr>
        <w:t>Why does lack of transparency persist?</w:t>
      </w:r>
    </w:p>
    <w:p w14:paraId="0DB84961" w14:textId="47ACC417" w:rsidR="004B0043" w:rsidRDefault="004B0043" w:rsidP="005F7B50">
      <w:pPr>
        <w:jc w:val="both"/>
        <w:rPr>
          <w:lang w:val="en-US"/>
        </w:rPr>
      </w:pPr>
      <w:r>
        <w:rPr>
          <w:lang w:val="en-US"/>
        </w:rPr>
        <w:t>In our view, lack of transparency is driven by three main factors:</w:t>
      </w:r>
    </w:p>
    <w:p w14:paraId="6B65470A" w14:textId="765C4F99" w:rsidR="004B0043" w:rsidRPr="004B0043" w:rsidRDefault="004B0043" w:rsidP="005F7B50">
      <w:pPr>
        <w:pStyle w:val="ListParagraph"/>
        <w:numPr>
          <w:ilvl w:val="0"/>
          <w:numId w:val="3"/>
        </w:numPr>
        <w:jc w:val="both"/>
        <w:rPr>
          <w:lang w:val="en-US"/>
        </w:rPr>
      </w:pPr>
      <w:r w:rsidRPr="004B0043">
        <w:rPr>
          <w:b/>
          <w:bCs/>
          <w:lang w:val="en-US"/>
        </w:rPr>
        <w:t>Fear of scrutiny by government officials</w:t>
      </w:r>
      <w:r>
        <w:rPr>
          <w:lang w:val="en-US"/>
        </w:rPr>
        <w:t>.  Some government officials want to maximize their discretion to use public resources without public scrutiny.  Some are engaged in misuse of funds, while others want to direct public funds to favored areas.  Some politicians and government officials have strong interests in preventing information about the budget from being published.</w:t>
      </w:r>
    </w:p>
    <w:p w14:paraId="3D7F5C76" w14:textId="5D118CB2" w:rsidR="004B0043" w:rsidRPr="004B0043" w:rsidRDefault="004B0043" w:rsidP="005F7B50">
      <w:pPr>
        <w:pStyle w:val="ListParagraph"/>
        <w:numPr>
          <w:ilvl w:val="0"/>
          <w:numId w:val="3"/>
        </w:numPr>
        <w:jc w:val="both"/>
        <w:rPr>
          <w:b/>
          <w:bCs/>
          <w:lang w:val="en-US"/>
        </w:rPr>
      </w:pPr>
      <w:r w:rsidRPr="004B0043">
        <w:rPr>
          <w:b/>
          <w:bCs/>
          <w:lang w:val="en-US"/>
        </w:rPr>
        <w:t>Lack of capacity of government officials to publish meaningful information</w:t>
      </w:r>
      <w:r>
        <w:rPr>
          <w:b/>
          <w:bCs/>
          <w:lang w:val="en-US"/>
        </w:rPr>
        <w:t xml:space="preserve">.  </w:t>
      </w:r>
      <w:r>
        <w:rPr>
          <w:lang w:val="en-US"/>
        </w:rPr>
        <w:t xml:space="preserve">Some officials want to make information available, but they do not know how.  They do not understand program-budgeting, or they lack knowledge about how to present budget data to the public.  When they present information, it is often not meaningful.  </w:t>
      </w:r>
    </w:p>
    <w:p w14:paraId="596ED73A" w14:textId="63666479" w:rsidR="004B0043" w:rsidRPr="004B0043" w:rsidRDefault="004B0043" w:rsidP="005F7B50">
      <w:pPr>
        <w:pStyle w:val="ListParagraph"/>
        <w:numPr>
          <w:ilvl w:val="0"/>
          <w:numId w:val="3"/>
        </w:numPr>
        <w:jc w:val="both"/>
        <w:rPr>
          <w:b/>
          <w:bCs/>
          <w:lang w:val="en-US"/>
        </w:rPr>
      </w:pPr>
      <w:r w:rsidRPr="004B0043">
        <w:rPr>
          <w:b/>
          <w:bCs/>
          <w:lang w:val="en-US"/>
        </w:rPr>
        <w:t>Lack of pressure from citizens, media and other organized groups to publish information</w:t>
      </w:r>
      <w:r>
        <w:rPr>
          <w:b/>
          <w:bCs/>
          <w:lang w:val="en-US"/>
        </w:rPr>
        <w:t xml:space="preserve">.  </w:t>
      </w:r>
      <w:r>
        <w:rPr>
          <w:lang w:val="en-US"/>
        </w:rPr>
        <w:t xml:space="preserve">While government officials may want to hide information or may not know what information to present, we know that information is generally made available only when it is requested.  </w:t>
      </w:r>
      <w:r w:rsidR="004011D2">
        <w:rPr>
          <w:lang w:val="en-US"/>
        </w:rPr>
        <w:t>Officials need to feel pressure to release information, and also need signals from the public about what they want to know and how they want information to be presented.  When there is insufficient demand from citizens and organized interests, like CSOs or business, and when the media is not able to dig into budget stories and demand information, then the incentives for even the most open government officials to release information will be weak.</w:t>
      </w:r>
    </w:p>
    <w:p w14:paraId="4BF55F59" w14:textId="5A960CDB" w:rsidR="004B0043" w:rsidRPr="004B0043" w:rsidRDefault="004B0043" w:rsidP="005F7B50">
      <w:pPr>
        <w:jc w:val="both"/>
        <w:rPr>
          <w:i/>
          <w:iCs/>
          <w:lang w:val="en-US"/>
        </w:rPr>
      </w:pPr>
      <w:r w:rsidRPr="004B0043">
        <w:rPr>
          <w:i/>
          <w:iCs/>
          <w:lang w:val="en-US"/>
        </w:rPr>
        <w:t>What can we do about it</w:t>
      </w:r>
      <w:r>
        <w:rPr>
          <w:i/>
          <w:iCs/>
          <w:lang w:val="en-US"/>
        </w:rPr>
        <w:t>?</w:t>
      </w:r>
    </w:p>
    <w:p w14:paraId="37307F72" w14:textId="005F51F0" w:rsidR="004B0043" w:rsidRDefault="004011D2" w:rsidP="005F7B50">
      <w:pPr>
        <w:jc w:val="both"/>
        <w:rPr>
          <w:lang w:val="en-US"/>
        </w:rPr>
      </w:pPr>
      <w:r>
        <w:rPr>
          <w:lang w:val="en-US"/>
        </w:rPr>
        <w:t>Our strategy will address these three challenges head-on.  Our primary focus is to generate demand-side pressure on government officials to release more information.  We cannot change the fact that some officials wish to hide what they are doing.  What we can do is to make this more costly through research, mobilization, media and advocacy.</w:t>
      </w:r>
    </w:p>
    <w:p w14:paraId="4E0B7BD3" w14:textId="373FCCE9" w:rsidR="00164FA8" w:rsidRPr="007D71DE" w:rsidRDefault="00164FA8" w:rsidP="005F7B50">
      <w:pPr>
        <w:jc w:val="both"/>
        <w:rPr>
          <w:lang w:val="en-US"/>
        </w:rPr>
      </w:pPr>
      <w:r>
        <w:rPr>
          <w:b/>
          <w:bCs/>
          <w:lang w:val="en-US"/>
        </w:rPr>
        <w:t xml:space="preserve">We will continue our research streams around budget transparency, as well as other core PFM values, and use this to generate demand-side pressure for changes in budget practices.  </w:t>
      </w:r>
      <w:r>
        <w:rPr>
          <w:lang w:val="en-US"/>
        </w:rPr>
        <w:t xml:space="preserve">IPF currently participates in the Open Budget Survey and the County Budget Transparency Survey, both of which measure government practices around transparency and participation.  Our Annual State of PFM will go further than these products, assessing additional areas of transparency, equity, </w:t>
      </w:r>
      <w:proofErr w:type="gramStart"/>
      <w:r>
        <w:rPr>
          <w:lang w:val="en-US"/>
        </w:rPr>
        <w:t>efficiency</w:t>
      </w:r>
      <w:proofErr w:type="gramEnd"/>
      <w:r>
        <w:rPr>
          <w:lang w:val="en-US"/>
        </w:rPr>
        <w:t xml:space="preserve"> and effectiveness. </w:t>
      </w:r>
      <w:r w:rsidR="00201B3C">
        <w:rPr>
          <w:lang w:val="en-US"/>
        </w:rPr>
        <w:t xml:space="preserve"> Messages from our research will feed into our advocacy work, and our capacity building, as described further below.</w:t>
      </w:r>
    </w:p>
    <w:p w14:paraId="1EA4E9ED" w14:textId="621BB006" w:rsidR="00933380" w:rsidRDefault="00933380" w:rsidP="005F7B50">
      <w:pPr>
        <w:jc w:val="both"/>
        <w:rPr>
          <w:lang w:val="en-US"/>
        </w:rPr>
      </w:pPr>
      <w:r>
        <w:rPr>
          <w:b/>
          <w:bCs/>
          <w:lang w:val="en-US"/>
        </w:rPr>
        <w:lastRenderedPageBreak/>
        <w:t>W</w:t>
      </w:r>
      <w:r w:rsidR="004011D2" w:rsidRPr="004011D2">
        <w:rPr>
          <w:b/>
          <w:bCs/>
          <w:lang w:val="en-US"/>
        </w:rPr>
        <w:t>e will work with citizens directly through tailored capacity building that links budget transparency to service delivery concerns of ordinary Kenyans.</w:t>
      </w:r>
      <w:r w:rsidR="004011D2">
        <w:rPr>
          <w:b/>
          <w:bCs/>
          <w:lang w:val="en-US"/>
        </w:rPr>
        <w:t xml:space="preserve">  </w:t>
      </w:r>
      <w:r w:rsidR="004011D2">
        <w:rPr>
          <w:lang w:val="en-US"/>
        </w:rPr>
        <w:t xml:space="preserve">A lot of training has happened in Kenya since the new constitution was passed, but often this training is too abstract or generic for citizens to truly engage with. </w:t>
      </w:r>
      <w:r w:rsidR="00B67035">
        <w:rPr>
          <w:lang w:val="en-US"/>
        </w:rPr>
        <w:t>In our previous strategy, we raised awareness</w:t>
      </w:r>
      <w:r w:rsidR="00536C4F">
        <w:rPr>
          <w:lang w:val="en-US"/>
        </w:rPr>
        <w:t xml:space="preserve"> among citizens </w:t>
      </w:r>
      <w:r w:rsidR="008C3463">
        <w:rPr>
          <w:lang w:val="en-US"/>
        </w:rPr>
        <w:t xml:space="preserve">on </w:t>
      </w:r>
      <w:r>
        <w:rPr>
          <w:lang w:val="en-US"/>
        </w:rPr>
        <w:t>government</w:t>
      </w:r>
      <w:r w:rsidR="008C3463">
        <w:rPr>
          <w:lang w:val="en-US"/>
        </w:rPr>
        <w:t xml:space="preserve"> planning and budgeting through capacity building initiatives and simplifying budget information. We also focused on raising the profile of the CBEF to ensure the representation of organized interest groups</w:t>
      </w:r>
      <w:r>
        <w:rPr>
          <w:lang w:val="en-US"/>
        </w:rPr>
        <w:t>,</w:t>
      </w:r>
      <w:r w:rsidR="008C3463">
        <w:rPr>
          <w:lang w:val="en-US"/>
        </w:rPr>
        <w:t xml:space="preserve"> especially women, </w:t>
      </w:r>
      <w:proofErr w:type="gramStart"/>
      <w:r w:rsidR="008C3463">
        <w:rPr>
          <w:lang w:val="en-US"/>
        </w:rPr>
        <w:t>youth</w:t>
      </w:r>
      <w:proofErr w:type="gramEnd"/>
      <w:r w:rsidR="008C3463">
        <w:rPr>
          <w:lang w:val="en-US"/>
        </w:rPr>
        <w:t xml:space="preserve"> and people with disabilities. </w:t>
      </w:r>
      <w:r>
        <w:rPr>
          <w:lang w:val="en-US"/>
        </w:rPr>
        <w:t xml:space="preserve">We have learned that we need to incorporate more people into our initiatives, </w:t>
      </w:r>
      <w:proofErr w:type="gramStart"/>
      <w:r>
        <w:rPr>
          <w:lang w:val="en-US"/>
        </w:rPr>
        <w:t>and also</w:t>
      </w:r>
      <w:proofErr w:type="gramEnd"/>
      <w:r>
        <w:rPr>
          <w:lang w:val="en-US"/>
        </w:rPr>
        <w:t xml:space="preserve"> reach out to different groups.</w:t>
      </w:r>
    </w:p>
    <w:p w14:paraId="42B799F4" w14:textId="2E1D64EC" w:rsidR="00933380" w:rsidRDefault="00933380" w:rsidP="005F7B50">
      <w:pPr>
        <w:jc w:val="both"/>
        <w:rPr>
          <w:lang w:val="en-US"/>
        </w:rPr>
      </w:pPr>
      <w:r>
        <w:rPr>
          <w:lang w:val="en-US"/>
        </w:rPr>
        <w:t>Going forward, w</w:t>
      </w:r>
      <w:r w:rsidR="008C3463">
        <w:rPr>
          <w:lang w:val="en-US"/>
        </w:rPr>
        <w:t xml:space="preserve">e will adopt a two-pronged approach. </w:t>
      </w:r>
      <w:r>
        <w:rPr>
          <w:lang w:val="en-US"/>
        </w:rPr>
        <w:t>The first prong is to</w:t>
      </w:r>
      <w:r w:rsidR="008C3463">
        <w:rPr>
          <w:lang w:val="en-US"/>
        </w:rPr>
        <w:t xml:space="preserve"> roll out</w:t>
      </w:r>
      <w:r w:rsidR="00B67035">
        <w:rPr>
          <w:lang w:val="en-US"/>
        </w:rPr>
        <w:t xml:space="preserve"> </w:t>
      </w:r>
      <w:r w:rsidR="008C3463">
        <w:rPr>
          <w:lang w:val="en-US"/>
        </w:rPr>
        <w:t xml:space="preserve">the </w:t>
      </w:r>
      <w:r w:rsidR="00B67035">
        <w:rPr>
          <w:lang w:val="en-US"/>
        </w:rPr>
        <w:t xml:space="preserve">capacity building </w:t>
      </w:r>
      <w:r w:rsidR="00CA73B7">
        <w:rPr>
          <w:lang w:val="en-US"/>
        </w:rPr>
        <w:t>initiatives to</w:t>
      </w:r>
      <w:r w:rsidR="00B67035">
        <w:rPr>
          <w:lang w:val="en-US"/>
        </w:rPr>
        <w:t xml:space="preserve"> </w:t>
      </w:r>
      <w:r>
        <w:rPr>
          <w:lang w:val="en-US"/>
        </w:rPr>
        <w:t xml:space="preserve">a </w:t>
      </w:r>
      <w:r w:rsidR="00B67035">
        <w:rPr>
          <w:lang w:val="en-US"/>
        </w:rPr>
        <w:t>wider population</w:t>
      </w:r>
      <w:r>
        <w:rPr>
          <w:lang w:val="en-US"/>
        </w:rPr>
        <w:t xml:space="preserve"> at the community level.  To achieve this, we will</w:t>
      </w:r>
      <w:r w:rsidR="00B67035">
        <w:rPr>
          <w:lang w:val="en-US"/>
        </w:rPr>
        <w:t xml:space="preserve"> </w:t>
      </w:r>
      <w:r>
        <w:rPr>
          <w:lang w:val="en-US"/>
        </w:rPr>
        <w:t>engage</w:t>
      </w:r>
      <w:r w:rsidR="00B67035">
        <w:rPr>
          <w:lang w:val="en-US"/>
        </w:rPr>
        <w:t xml:space="preserve"> with the existing </w:t>
      </w:r>
      <w:r>
        <w:rPr>
          <w:lang w:val="en-US"/>
        </w:rPr>
        <w:t xml:space="preserve">county </w:t>
      </w:r>
      <w:r w:rsidR="00B67035">
        <w:rPr>
          <w:lang w:val="en-US"/>
        </w:rPr>
        <w:t xml:space="preserve">budget champions through a </w:t>
      </w:r>
      <w:r>
        <w:rPr>
          <w:lang w:val="en-US"/>
        </w:rPr>
        <w:t>training of trainers (</w:t>
      </w:r>
      <w:r w:rsidR="00B67035">
        <w:rPr>
          <w:lang w:val="en-US"/>
        </w:rPr>
        <w:t>TOT</w:t>
      </w:r>
      <w:r>
        <w:rPr>
          <w:lang w:val="en-US"/>
        </w:rPr>
        <w:t>)</w:t>
      </w:r>
      <w:r w:rsidR="00B67035">
        <w:rPr>
          <w:lang w:val="en-US"/>
        </w:rPr>
        <w:t xml:space="preserve"> approach</w:t>
      </w:r>
      <w:r>
        <w:rPr>
          <w:lang w:val="en-US"/>
        </w:rPr>
        <w:t>, while continuing to work with</w:t>
      </w:r>
      <w:r w:rsidR="008C3463">
        <w:rPr>
          <w:lang w:val="en-US"/>
        </w:rPr>
        <w:t xml:space="preserve"> non-state actors in the CBEF representing special interest groups. </w:t>
      </w:r>
      <w:r>
        <w:rPr>
          <w:lang w:val="en-US"/>
        </w:rPr>
        <w:t>We will develop more practical tools for helping citizens to see the importance of budgets</w:t>
      </w:r>
      <w:r w:rsidR="006B499C">
        <w:rPr>
          <w:lang w:val="en-US"/>
        </w:rPr>
        <w:t xml:space="preserve"> including interactive visualization tools, simulation of different budget choices and deliberative participation approaches</w:t>
      </w:r>
      <w:r>
        <w:rPr>
          <w:lang w:val="en-US"/>
        </w:rPr>
        <w:t>.</w:t>
      </w:r>
    </w:p>
    <w:p w14:paraId="75C2D402" w14:textId="71ECAB60" w:rsidR="00536C4F" w:rsidRDefault="00933380" w:rsidP="005F7B50">
      <w:pPr>
        <w:jc w:val="both"/>
        <w:rPr>
          <w:lang w:val="en-US"/>
        </w:rPr>
      </w:pPr>
      <w:r>
        <w:rPr>
          <w:lang w:val="en-US"/>
        </w:rPr>
        <w:t>Under our second prong</w:t>
      </w:r>
      <w:r w:rsidR="008C3463">
        <w:rPr>
          <w:lang w:val="en-US"/>
        </w:rPr>
        <w:t xml:space="preserve">, we will </w:t>
      </w:r>
      <w:r>
        <w:rPr>
          <w:lang w:val="en-US"/>
        </w:rPr>
        <w:t>target</w:t>
      </w:r>
      <w:r w:rsidR="008C3463">
        <w:rPr>
          <w:lang w:val="en-US"/>
        </w:rPr>
        <w:t xml:space="preserve"> university students taking public finance, economics, and </w:t>
      </w:r>
      <w:r w:rsidR="00CA73B7">
        <w:rPr>
          <w:lang w:val="en-US"/>
        </w:rPr>
        <w:t xml:space="preserve">governance and development related courses </w:t>
      </w:r>
      <w:r>
        <w:rPr>
          <w:lang w:val="en-US"/>
        </w:rPr>
        <w:t>for</w:t>
      </w:r>
      <w:r w:rsidR="00CA73B7">
        <w:rPr>
          <w:lang w:val="en-US"/>
        </w:rPr>
        <w:t xml:space="preserve"> our capacity building initiatives. Students are already organized through clubs and societies with interest on public finance management and governance and our approach is to engage them through these existing platforms. Since they have a background in these disciplines, they have an interest in improving management of public finances and the capacity building initiatives are aligned with their career aspirations. Working with university students presents a better opportunity for a successful TOT approach. </w:t>
      </w:r>
    </w:p>
    <w:p w14:paraId="0D5EB8FD" w14:textId="3DC2FEB6" w:rsidR="004011D2" w:rsidRDefault="00933380" w:rsidP="005F7B50">
      <w:pPr>
        <w:jc w:val="both"/>
        <w:rPr>
          <w:b/>
          <w:bCs/>
          <w:lang w:val="en-US"/>
        </w:rPr>
      </w:pPr>
      <w:r>
        <w:rPr>
          <w:b/>
          <w:bCs/>
          <w:lang w:val="en-US"/>
        </w:rPr>
        <w:t>W</w:t>
      </w:r>
      <w:r w:rsidR="004011D2" w:rsidRPr="004011D2">
        <w:rPr>
          <w:b/>
          <w:bCs/>
          <w:lang w:val="en-US"/>
        </w:rPr>
        <w:t>e will also partner with citizen groups that are more experienced in community mobilization, such as The Institute for Social Accountability (TISA)</w:t>
      </w:r>
      <w:r w:rsidR="003C0B7F">
        <w:rPr>
          <w:b/>
          <w:bCs/>
          <w:lang w:val="en-US"/>
        </w:rPr>
        <w:t xml:space="preserve"> through coalitions</w:t>
      </w:r>
      <w:r w:rsidR="004011D2">
        <w:rPr>
          <w:b/>
          <w:bCs/>
          <w:lang w:val="en-US"/>
        </w:rPr>
        <w:t>.</w:t>
      </w:r>
      <w:r w:rsidR="004011D2" w:rsidRPr="004011D2">
        <w:rPr>
          <w:lang w:val="en-US"/>
        </w:rPr>
        <w:t xml:space="preserve"> </w:t>
      </w:r>
      <w:r w:rsidR="004011D2">
        <w:rPr>
          <w:lang w:val="en-US"/>
        </w:rPr>
        <w:t xml:space="preserve"> TISA</w:t>
      </w:r>
      <w:r w:rsidR="004011D2" w:rsidRPr="004011D2">
        <w:rPr>
          <w:lang w:val="en-US"/>
        </w:rPr>
        <w:t xml:space="preserve"> runs a citizen engagement program where it promotes public awareness and civic mobilization on the issues of public finance, specifically public debt. IPF’s goal to improve transparency in the entire budget process, complements TISA’s mission as increased budget transparency increases public access to information on public debt thus improving public awareness and discourse on fiscal matters.</w:t>
      </w:r>
      <w:r w:rsidR="00431B97">
        <w:rPr>
          <w:lang w:val="en-US"/>
        </w:rPr>
        <w:t xml:space="preserve">  </w:t>
      </w:r>
      <w:r w:rsidR="00F94B56">
        <w:rPr>
          <w:lang w:val="en-US"/>
        </w:rPr>
        <w:t xml:space="preserve">IPF expertise in research and analysis of </w:t>
      </w:r>
      <w:r w:rsidR="000A55B4">
        <w:rPr>
          <w:lang w:val="en-US"/>
        </w:rPr>
        <w:t>complex public</w:t>
      </w:r>
      <w:r w:rsidR="00F94B56">
        <w:rPr>
          <w:lang w:val="en-US"/>
        </w:rPr>
        <w:t xml:space="preserve"> finance information </w:t>
      </w:r>
      <w:r w:rsidR="00E52E4B">
        <w:rPr>
          <w:lang w:val="en-US"/>
        </w:rPr>
        <w:t xml:space="preserve">will ensure </w:t>
      </w:r>
      <w:r w:rsidR="0054698C">
        <w:rPr>
          <w:lang w:val="en-US"/>
        </w:rPr>
        <w:t>complex public finance issues are presented in a simplified</w:t>
      </w:r>
      <w:r w:rsidR="000A55B4">
        <w:rPr>
          <w:lang w:val="en-US"/>
        </w:rPr>
        <w:t xml:space="preserve"> </w:t>
      </w:r>
      <w:r w:rsidR="00BC6DFE">
        <w:rPr>
          <w:lang w:val="en-US"/>
        </w:rPr>
        <w:t xml:space="preserve">manner that can inform the demands of </w:t>
      </w:r>
      <w:r w:rsidR="000A55B4">
        <w:rPr>
          <w:lang w:val="en-US"/>
        </w:rPr>
        <w:t xml:space="preserve">such coalitions </w:t>
      </w:r>
      <w:r w:rsidR="00876CEF">
        <w:rPr>
          <w:lang w:val="en-US"/>
        </w:rPr>
        <w:t>with citizen groups and policy makers</w:t>
      </w:r>
      <w:r w:rsidR="000A55B4">
        <w:rPr>
          <w:lang w:val="en-US"/>
        </w:rPr>
        <w:t xml:space="preserve">. </w:t>
      </w:r>
    </w:p>
    <w:p w14:paraId="383A62E7" w14:textId="40066582" w:rsidR="004011D2" w:rsidRPr="004011D2" w:rsidRDefault="004011D2" w:rsidP="005F7B50">
      <w:pPr>
        <w:jc w:val="both"/>
        <w:rPr>
          <w:lang w:val="en-US"/>
        </w:rPr>
      </w:pPr>
      <w:r>
        <w:rPr>
          <w:b/>
          <w:bCs/>
          <w:lang w:val="en-US"/>
        </w:rPr>
        <w:t xml:space="preserve">Third, </w:t>
      </w:r>
      <w:r w:rsidRPr="004011D2">
        <w:rPr>
          <w:b/>
          <w:bCs/>
          <w:lang w:val="en-US"/>
        </w:rPr>
        <w:t>we will collaborate with influential organized groups like Kenya Private Sector Alliance (KEPSA)</w:t>
      </w:r>
      <w:r w:rsidR="004F2730">
        <w:rPr>
          <w:b/>
          <w:bCs/>
          <w:lang w:val="en-US"/>
        </w:rPr>
        <w:t xml:space="preserve"> and the Kenya National Chambers of Commerce and Industries</w:t>
      </w:r>
      <w:r w:rsidR="00A25F88">
        <w:rPr>
          <w:b/>
          <w:bCs/>
          <w:lang w:val="en-US"/>
        </w:rPr>
        <w:t xml:space="preserve"> to push for greater budget transparency</w:t>
      </w:r>
      <w:r w:rsidRPr="004011D2">
        <w:rPr>
          <w:b/>
          <w:bCs/>
          <w:lang w:val="en-US"/>
        </w:rPr>
        <w:t>.</w:t>
      </w:r>
      <w:r w:rsidR="004169C9" w:rsidRPr="004169C9">
        <w:t xml:space="preserve"> </w:t>
      </w:r>
      <w:r w:rsidR="004169C9" w:rsidRPr="004169C9">
        <w:rPr>
          <w:lang w:val="en-US"/>
        </w:rPr>
        <w:t>The private sector is the main contributor to the government revenues that are used to finance the different development plans. It is therefore critical that they should be involved in ensuring that these funds are being utilized in an effective and efficient way to ensure services are being provided</w:t>
      </w:r>
      <w:r w:rsidR="004169C9">
        <w:rPr>
          <w:lang w:val="en-US"/>
        </w:rPr>
        <w:t>.</w:t>
      </w:r>
      <w:r w:rsidR="00041703">
        <w:rPr>
          <w:b/>
          <w:bCs/>
          <w:lang w:val="en-US"/>
        </w:rPr>
        <w:t xml:space="preserve"> </w:t>
      </w:r>
      <w:r w:rsidR="00A25F88" w:rsidRPr="009079B2">
        <w:rPr>
          <w:lang w:val="en-US"/>
        </w:rPr>
        <w:t>T</w:t>
      </w:r>
      <w:r w:rsidR="00E76834" w:rsidRPr="00A25F88">
        <w:rPr>
          <w:lang w:val="en-US"/>
        </w:rPr>
        <w:t xml:space="preserve">hese organization </w:t>
      </w:r>
      <w:r w:rsidR="00A25F88" w:rsidRPr="00A25F88">
        <w:rPr>
          <w:lang w:val="en-US"/>
        </w:rPr>
        <w:t>have a</w:t>
      </w:r>
      <w:r w:rsidR="00F50ADC" w:rsidRPr="00A25F88">
        <w:rPr>
          <w:lang w:val="en-US"/>
        </w:rPr>
        <w:t xml:space="preserve"> limited</w:t>
      </w:r>
      <w:r w:rsidR="008733F4" w:rsidRPr="00A25F88">
        <w:rPr>
          <w:lang w:val="en-US"/>
        </w:rPr>
        <w:t xml:space="preserve"> understanding of budget </w:t>
      </w:r>
      <w:r w:rsidR="00F50ADC" w:rsidRPr="00A25F88">
        <w:rPr>
          <w:lang w:val="en-US"/>
        </w:rPr>
        <w:t xml:space="preserve">analysis and </w:t>
      </w:r>
      <w:r w:rsidR="008733F4" w:rsidRPr="00A25F88">
        <w:rPr>
          <w:lang w:val="en-US"/>
        </w:rPr>
        <w:t xml:space="preserve">advocacy which </w:t>
      </w:r>
      <w:r w:rsidR="00AB38F1" w:rsidRPr="00A25F88">
        <w:rPr>
          <w:lang w:val="en-US"/>
        </w:rPr>
        <w:t>limits thei</w:t>
      </w:r>
      <w:r w:rsidR="00AB38F1">
        <w:rPr>
          <w:lang w:val="en-US"/>
        </w:rPr>
        <w:t xml:space="preserve">r </w:t>
      </w:r>
      <w:r w:rsidR="008733F4" w:rsidRPr="008733F4">
        <w:rPr>
          <w:lang w:val="en-US"/>
        </w:rPr>
        <w:t xml:space="preserve">influence on the </w:t>
      </w:r>
      <w:r w:rsidR="00A25F88">
        <w:rPr>
          <w:lang w:val="en-US"/>
        </w:rPr>
        <w:t>b</w:t>
      </w:r>
      <w:r w:rsidR="008733F4" w:rsidRPr="008733F4">
        <w:rPr>
          <w:lang w:val="en-US"/>
        </w:rPr>
        <w:t>udget making process</w:t>
      </w:r>
      <w:r w:rsidR="00A25F88">
        <w:rPr>
          <w:lang w:val="en-US"/>
        </w:rPr>
        <w:t>.</w:t>
      </w:r>
      <w:r w:rsidR="008733F4" w:rsidRPr="008733F4">
        <w:rPr>
          <w:lang w:val="en-US"/>
        </w:rPr>
        <w:t xml:space="preserve"> Further, most B</w:t>
      </w:r>
      <w:r w:rsidR="00AB38F1">
        <w:rPr>
          <w:lang w:val="en-US"/>
        </w:rPr>
        <w:t xml:space="preserve">usiness </w:t>
      </w:r>
      <w:r w:rsidR="008733F4" w:rsidRPr="008733F4">
        <w:rPr>
          <w:lang w:val="en-US"/>
        </w:rPr>
        <w:t>M</w:t>
      </w:r>
      <w:r w:rsidR="00AB38F1">
        <w:rPr>
          <w:lang w:val="en-US"/>
        </w:rPr>
        <w:t xml:space="preserve">ember </w:t>
      </w:r>
      <w:r w:rsidR="008733F4" w:rsidRPr="008733F4">
        <w:rPr>
          <w:lang w:val="en-US"/>
        </w:rPr>
        <w:t>O</w:t>
      </w:r>
      <w:r w:rsidR="00AB38F1">
        <w:rPr>
          <w:lang w:val="en-US"/>
        </w:rPr>
        <w:t>rganization</w:t>
      </w:r>
      <w:r w:rsidR="008733F4" w:rsidRPr="008733F4">
        <w:rPr>
          <w:lang w:val="en-US"/>
        </w:rPr>
        <w:t>s (</w:t>
      </w:r>
      <w:r w:rsidR="00A25F88">
        <w:rPr>
          <w:lang w:val="en-US"/>
        </w:rPr>
        <w:t xml:space="preserve">BMOs, </w:t>
      </w:r>
      <w:r w:rsidR="008733F4" w:rsidRPr="008733F4">
        <w:rPr>
          <w:lang w:val="en-US"/>
        </w:rPr>
        <w:t>especially those representing MSMEs) do not have dedicated</w:t>
      </w:r>
      <w:r w:rsidR="00D80EE2">
        <w:rPr>
          <w:lang w:val="en-US"/>
        </w:rPr>
        <w:t xml:space="preserve"> budget </w:t>
      </w:r>
      <w:r w:rsidR="008733F4" w:rsidRPr="008733F4">
        <w:rPr>
          <w:lang w:val="en-US"/>
        </w:rPr>
        <w:t xml:space="preserve">advocacy </w:t>
      </w:r>
      <w:r w:rsidR="00D80EE2">
        <w:rPr>
          <w:lang w:val="en-US"/>
        </w:rPr>
        <w:t>initiatives that can</w:t>
      </w:r>
      <w:r w:rsidR="008733F4" w:rsidRPr="008733F4">
        <w:rPr>
          <w:lang w:val="en-US"/>
        </w:rPr>
        <w:t xml:space="preserve"> drive their advocacy agenda and thus </w:t>
      </w:r>
      <w:r w:rsidR="00A25F88">
        <w:rPr>
          <w:lang w:val="en-US"/>
        </w:rPr>
        <w:t>there is</w:t>
      </w:r>
      <w:r w:rsidR="008733F4" w:rsidRPr="008733F4">
        <w:rPr>
          <w:lang w:val="en-US"/>
        </w:rPr>
        <w:t xml:space="preserve"> little and uncoordinated engagement with government in matters </w:t>
      </w:r>
      <w:r w:rsidR="00A25F88">
        <w:rPr>
          <w:lang w:val="en-US"/>
        </w:rPr>
        <w:t xml:space="preserve">of </w:t>
      </w:r>
      <w:r w:rsidR="008733F4" w:rsidRPr="008733F4">
        <w:rPr>
          <w:lang w:val="en-US"/>
        </w:rPr>
        <w:t>public finance and taxation</w:t>
      </w:r>
      <w:r w:rsidR="00715173">
        <w:rPr>
          <w:lang w:val="en-US"/>
        </w:rPr>
        <w:t>.</w:t>
      </w:r>
      <w:r w:rsidRPr="004011D2">
        <w:rPr>
          <w:lang w:val="en-US"/>
        </w:rPr>
        <w:t xml:space="preserve"> To ensure productive partnerships with these groups, it is crucial to establish a link between their priorities and public budgeting. For example, KEPSA’s mission is to realize an enabling business environment that enhances Kenya’s global competitiveness. Effective engagement with them would entail demonstrating how budget transparency directly affects the attainment of their mission.</w:t>
      </w:r>
    </w:p>
    <w:p w14:paraId="37FA746B" w14:textId="224D97AF" w:rsidR="00806AE6" w:rsidRPr="00A25F88" w:rsidRDefault="00D03C0D" w:rsidP="005F7B50">
      <w:pPr>
        <w:jc w:val="both"/>
        <w:rPr>
          <w:rFonts w:cstheme="minorHAnsi"/>
          <w:lang w:val="en-US"/>
        </w:rPr>
      </w:pPr>
      <w:r w:rsidRPr="00A25F88">
        <w:rPr>
          <w:rFonts w:cstheme="minorHAnsi"/>
          <w:b/>
          <w:bCs/>
          <w:lang w:val="en-US"/>
        </w:rPr>
        <w:lastRenderedPageBreak/>
        <w:t xml:space="preserve">Finally, </w:t>
      </w:r>
      <w:r w:rsidRPr="009079B2">
        <w:rPr>
          <w:rFonts w:eastAsia="Garamond" w:cstheme="minorHAnsi"/>
          <w:b/>
          <w:bCs/>
        </w:rPr>
        <w:t>IPF will provide journalists with training on budget-related topics</w:t>
      </w:r>
      <w:r w:rsidR="00A25F88">
        <w:rPr>
          <w:rFonts w:eastAsia="Garamond" w:cstheme="minorHAnsi"/>
          <w:b/>
          <w:bCs/>
        </w:rPr>
        <w:t xml:space="preserve"> to enhance the pressure on policymakers to manage finances transparently</w:t>
      </w:r>
      <w:r w:rsidRPr="00BE7293">
        <w:rPr>
          <w:rFonts w:eastAsia="Garamond" w:cstheme="minorHAnsi"/>
          <w:b/>
          <w:bCs/>
        </w:rPr>
        <w:t>.</w:t>
      </w:r>
      <w:r w:rsidRPr="00BE7293">
        <w:rPr>
          <w:rFonts w:eastAsia="Garamond" w:cstheme="minorHAnsi"/>
        </w:rPr>
        <w:t xml:space="preserve"> This will enable them to ask the right questions and communicate budget-related issues to the public in a clear manner. </w:t>
      </w:r>
      <w:r w:rsidR="00ED34E5" w:rsidRPr="00BE7293">
        <w:rPr>
          <w:rFonts w:eastAsia="Garamond" w:cstheme="minorHAnsi"/>
        </w:rPr>
        <w:t xml:space="preserve">We will periodically engage the media with </w:t>
      </w:r>
      <w:r w:rsidR="00656360" w:rsidRPr="00BE7293">
        <w:rPr>
          <w:rFonts w:eastAsia="Garamond" w:cstheme="minorHAnsi"/>
        </w:rPr>
        <w:t>synthesised</w:t>
      </w:r>
      <w:r w:rsidR="00ED34E5" w:rsidRPr="00BE7293">
        <w:rPr>
          <w:rFonts w:eastAsia="Garamond" w:cstheme="minorHAnsi"/>
        </w:rPr>
        <w:t xml:space="preserve"> public finance information </w:t>
      </w:r>
      <w:r w:rsidR="00656360" w:rsidRPr="00BE7293">
        <w:rPr>
          <w:rFonts w:eastAsia="Garamond" w:cstheme="minorHAnsi"/>
        </w:rPr>
        <w:t>on topical issues in the budget cycle to ensure accura</w:t>
      </w:r>
      <w:r w:rsidR="00A25F88">
        <w:rPr>
          <w:rFonts w:eastAsia="Garamond" w:cstheme="minorHAnsi"/>
        </w:rPr>
        <w:t>te</w:t>
      </w:r>
      <w:r w:rsidR="00656360" w:rsidRPr="00BE7293">
        <w:rPr>
          <w:rFonts w:eastAsia="Garamond" w:cstheme="minorHAnsi"/>
        </w:rPr>
        <w:t xml:space="preserve"> reporting</w:t>
      </w:r>
      <w:r w:rsidR="006C3A88" w:rsidRPr="00BE7293">
        <w:rPr>
          <w:rFonts w:eastAsia="Garamond" w:cstheme="minorHAnsi"/>
        </w:rPr>
        <w:t xml:space="preserve"> of issues to spur credible public debate</w:t>
      </w:r>
      <w:r w:rsidR="00656360" w:rsidRPr="00BE7293">
        <w:rPr>
          <w:rFonts w:eastAsia="Garamond" w:cstheme="minorHAnsi"/>
        </w:rPr>
        <w:t xml:space="preserve">. </w:t>
      </w:r>
    </w:p>
    <w:p w14:paraId="7DEEE253" w14:textId="62F1A42F" w:rsidR="00811E86" w:rsidRPr="00313A11" w:rsidRDefault="00D03C0D" w:rsidP="005F7B50">
      <w:pPr>
        <w:jc w:val="both"/>
        <w:rPr>
          <w:rFonts w:ascii="Tahoma" w:hAnsi="Tahoma" w:cs="Tahoma"/>
        </w:rPr>
      </w:pPr>
      <w:r w:rsidRPr="00A25F88">
        <w:rPr>
          <w:rFonts w:cstheme="minorHAnsi"/>
          <w:lang w:val="en-US"/>
        </w:rPr>
        <w:t>These approaches will help to generate considerable demand-side pressure for greater budget transparency.  Our theory of change recognizes that citizen demands need to meet government capacity and participatory institutions to bring about change.  We take up the issue of participation next, but when it comes to government capacity</w:t>
      </w:r>
      <w:r w:rsidR="00A17933">
        <w:rPr>
          <w:rFonts w:cstheme="minorHAnsi"/>
          <w:lang w:val="en-US"/>
        </w:rPr>
        <w:t xml:space="preserve"> to conduct meaningful citizens participation, we observe gaps in </w:t>
      </w:r>
      <w:r w:rsidR="009B2C21">
        <w:rPr>
          <w:rFonts w:cstheme="minorHAnsi"/>
          <w:lang w:val="en-US"/>
        </w:rPr>
        <w:t>official’s</w:t>
      </w:r>
      <w:r w:rsidR="00A17933">
        <w:rPr>
          <w:rFonts w:cstheme="minorHAnsi"/>
          <w:lang w:val="en-US"/>
        </w:rPr>
        <w:t xml:space="preserve"> ability to provide adequate civic education to enhance policy </w:t>
      </w:r>
      <w:r w:rsidR="00811E86" w:rsidRPr="00A17933">
        <w:rPr>
          <w:rFonts w:cstheme="minorHAnsi"/>
          <w:lang w:val="en-US"/>
        </w:rPr>
        <w:t xml:space="preserve">knowledge </w:t>
      </w:r>
      <w:r w:rsidR="00A17933" w:rsidRPr="00A17933">
        <w:rPr>
          <w:rFonts w:cstheme="minorHAnsi"/>
          <w:lang w:val="en-US"/>
        </w:rPr>
        <w:t>among</w:t>
      </w:r>
      <w:r w:rsidR="00811E86" w:rsidRPr="00A17933">
        <w:rPr>
          <w:rFonts w:cstheme="minorHAnsi"/>
          <w:lang w:val="en-US"/>
        </w:rPr>
        <w:t xml:space="preserve"> citizens, </w:t>
      </w:r>
      <w:r w:rsidR="00A17933" w:rsidRPr="00A17933">
        <w:rPr>
          <w:rFonts w:cstheme="minorHAnsi"/>
          <w:lang w:val="en-US"/>
        </w:rPr>
        <w:t>lack</w:t>
      </w:r>
      <w:r w:rsidR="00811E86" w:rsidRPr="00A17933">
        <w:rPr>
          <w:rFonts w:cstheme="minorHAnsi"/>
          <w:lang w:val="en-US"/>
        </w:rPr>
        <w:t xml:space="preserve"> </w:t>
      </w:r>
      <w:r w:rsidR="00A17933" w:rsidRPr="00A17933">
        <w:rPr>
          <w:rFonts w:cstheme="minorHAnsi"/>
          <w:lang w:val="en-US"/>
        </w:rPr>
        <w:t>of</w:t>
      </w:r>
      <w:r w:rsidR="00F62DF2">
        <w:rPr>
          <w:rFonts w:cstheme="minorHAnsi"/>
          <w:lang w:val="en-US"/>
        </w:rPr>
        <w:t xml:space="preserve"> a well-established feedback m</w:t>
      </w:r>
      <w:r w:rsidR="00811E86" w:rsidRPr="00A17933">
        <w:rPr>
          <w:rFonts w:cstheme="minorHAnsi"/>
          <w:lang w:val="en-US"/>
        </w:rPr>
        <w:t>echanism</w:t>
      </w:r>
      <w:r w:rsidR="00A17933" w:rsidRPr="00A17933">
        <w:rPr>
          <w:rFonts w:cstheme="minorHAnsi"/>
          <w:lang w:val="en-US"/>
        </w:rPr>
        <w:t xml:space="preserve"> to citizens, </w:t>
      </w:r>
      <w:r w:rsidR="00A17933">
        <w:rPr>
          <w:rFonts w:cstheme="minorHAnsi"/>
          <w:lang w:val="en-US"/>
        </w:rPr>
        <w:t>inability</w:t>
      </w:r>
      <w:r w:rsidR="00A17933" w:rsidRPr="00A17933">
        <w:rPr>
          <w:rFonts w:cstheme="minorHAnsi"/>
          <w:lang w:val="en-US"/>
        </w:rPr>
        <w:t xml:space="preserve"> to provide </w:t>
      </w:r>
      <w:r w:rsidR="00811E86" w:rsidRPr="00A17933">
        <w:rPr>
          <w:rFonts w:cstheme="minorHAnsi"/>
          <w:lang w:val="en-US"/>
        </w:rPr>
        <w:t>direction in agenda-setting</w:t>
      </w:r>
      <w:r w:rsidR="00A17933">
        <w:rPr>
          <w:rFonts w:cstheme="minorHAnsi"/>
          <w:lang w:val="en-US"/>
        </w:rPr>
        <w:t xml:space="preserve"> </w:t>
      </w:r>
      <w:r w:rsidR="00F62DF2">
        <w:rPr>
          <w:rFonts w:cstheme="minorHAnsi"/>
          <w:lang w:val="en-US"/>
        </w:rPr>
        <w:t>during</w:t>
      </w:r>
      <w:r w:rsidR="00A17933">
        <w:rPr>
          <w:rFonts w:cstheme="minorHAnsi"/>
          <w:lang w:val="en-US"/>
        </w:rPr>
        <w:t xml:space="preserve"> public participatio</w:t>
      </w:r>
      <w:r w:rsidR="00F62DF2">
        <w:rPr>
          <w:rFonts w:cstheme="minorHAnsi"/>
          <w:lang w:val="en-US"/>
        </w:rPr>
        <w:t>n</w:t>
      </w:r>
      <w:r w:rsidR="00811E86" w:rsidRPr="00A17933">
        <w:rPr>
          <w:rFonts w:cstheme="minorHAnsi"/>
          <w:lang w:val="en-US"/>
        </w:rPr>
        <w:t xml:space="preserve">, </w:t>
      </w:r>
      <w:r w:rsidR="00A17933">
        <w:rPr>
          <w:rFonts w:cstheme="minorHAnsi"/>
          <w:lang w:val="en-US"/>
        </w:rPr>
        <w:t xml:space="preserve">and to provide </w:t>
      </w:r>
      <w:r w:rsidR="00811E86" w:rsidRPr="00A17933">
        <w:rPr>
          <w:rFonts w:cstheme="minorHAnsi"/>
          <w:lang w:val="en-US"/>
        </w:rPr>
        <w:t xml:space="preserve">oversight and </w:t>
      </w:r>
      <w:r w:rsidR="00A17933">
        <w:rPr>
          <w:rFonts w:cstheme="minorHAnsi"/>
          <w:lang w:val="en-US"/>
        </w:rPr>
        <w:t xml:space="preserve">meaningful </w:t>
      </w:r>
      <w:r w:rsidR="00811E86" w:rsidRPr="00A17933">
        <w:rPr>
          <w:rFonts w:cstheme="minorHAnsi"/>
          <w:lang w:val="en-US"/>
        </w:rPr>
        <w:t>inputs on policy issues in the budget process.</w:t>
      </w:r>
      <w:r w:rsidR="00811E86" w:rsidRPr="00313A11">
        <w:rPr>
          <w:rFonts w:ascii="Tahoma" w:hAnsi="Tahoma" w:cs="Tahoma"/>
        </w:rPr>
        <w:t xml:space="preserve">  </w:t>
      </w:r>
    </w:p>
    <w:p w14:paraId="6F4520D0" w14:textId="506D846F" w:rsidR="00B600BC" w:rsidRPr="00A25F88" w:rsidRDefault="00B600BC" w:rsidP="005F7B50">
      <w:pPr>
        <w:jc w:val="both"/>
        <w:rPr>
          <w:rFonts w:cstheme="minorHAnsi"/>
          <w:lang w:val="en-US"/>
        </w:rPr>
      </w:pPr>
    </w:p>
    <w:p w14:paraId="2604DEA0" w14:textId="55FD8798" w:rsidR="00B600BC" w:rsidRDefault="00477A9F" w:rsidP="005F7B50">
      <w:pPr>
        <w:pStyle w:val="Heading2"/>
        <w:jc w:val="both"/>
        <w:rPr>
          <w:lang w:val="en-US"/>
        </w:rPr>
      </w:pPr>
      <w:bookmarkStart w:id="10" w:name="_Toc149824901"/>
      <w:r>
        <w:rPr>
          <w:lang w:val="en-US"/>
        </w:rPr>
        <w:t>Outcome 2: Consistent and robust citizen participation across all stages of the budget process at national and county level</w:t>
      </w:r>
      <w:bookmarkEnd w:id="10"/>
    </w:p>
    <w:p w14:paraId="2D1330EE" w14:textId="25D854D4" w:rsidR="00477A9F" w:rsidRDefault="00477A9F" w:rsidP="005F7B50">
      <w:pPr>
        <w:jc w:val="both"/>
        <w:rPr>
          <w:lang w:val="en-US"/>
        </w:rPr>
      </w:pPr>
      <w:r>
        <w:rPr>
          <w:lang w:val="en-US"/>
        </w:rPr>
        <w:t>This outcome, like transparency, involves both a supply and a demand element.  We want to see more meaningful and regular opportunities for citizen engagement supplied by government.  But we also want to see citizens better prepared for those engagements.</w:t>
      </w:r>
    </w:p>
    <w:p w14:paraId="2D683A46" w14:textId="221E5474" w:rsidR="00477A9F" w:rsidRPr="00477A9F" w:rsidRDefault="00477A9F" w:rsidP="005F7B50">
      <w:pPr>
        <w:jc w:val="both"/>
        <w:rPr>
          <w:i/>
          <w:iCs/>
          <w:lang w:val="en-US"/>
        </w:rPr>
      </w:pPr>
      <w:r w:rsidRPr="00477A9F">
        <w:rPr>
          <w:i/>
          <w:iCs/>
          <w:lang w:val="en-US"/>
        </w:rPr>
        <w:t>Why does lack of public participation persist?</w:t>
      </w:r>
    </w:p>
    <w:p w14:paraId="7457A955" w14:textId="42481E78" w:rsidR="00477A9F" w:rsidRDefault="00477A9F" w:rsidP="005F7B50">
      <w:pPr>
        <w:jc w:val="both"/>
        <w:rPr>
          <w:lang w:val="en-US"/>
        </w:rPr>
      </w:pPr>
      <w:r w:rsidRPr="00477A9F">
        <w:rPr>
          <w:b/>
          <w:bCs/>
          <w:lang w:val="en-US"/>
        </w:rPr>
        <w:t>Like lack of transparency, lack of participation is in part due to the fact that politicians prefer to maintain control of the budget process.</w:t>
      </w:r>
      <w:r>
        <w:rPr>
          <w:b/>
          <w:bCs/>
          <w:lang w:val="en-US"/>
        </w:rPr>
        <w:t xml:space="preserve">  </w:t>
      </w:r>
      <w:r w:rsidR="00667486">
        <w:rPr>
          <w:lang w:val="en-US"/>
        </w:rPr>
        <w:t xml:space="preserve">When people participate, they demand things.  Either because politicians do not want to give them these things, or because they cannot, inviting participation creates expectations that are not met, leading to more tension between citizens and government.  </w:t>
      </w:r>
    </w:p>
    <w:p w14:paraId="350A739B" w14:textId="166F7763" w:rsidR="00667486" w:rsidRDefault="00667486" w:rsidP="005F7B50">
      <w:pPr>
        <w:jc w:val="both"/>
        <w:rPr>
          <w:lang w:val="en-US"/>
        </w:rPr>
      </w:pPr>
      <w:r w:rsidRPr="00667486">
        <w:rPr>
          <w:b/>
          <w:bCs/>
          <w:lang w:val="en-US"/>
        </w:rPr>
        <w:t>At the same time, even when government officials comply with the law and organize participation forums, they do not organize them well.</w:t>
      </w:r>
      <w:r>
        <w:rPr>
          <w:lang w:val="en-US"/>
        </w:rPr>
        <w:t xml:space="preserve">  Often information is missing or difficult to interpret.  The forums may not be well-publicized.  The kinds of questions that people are asked may not be meaningful, and a lack of action after such forums may discourage participation.  Forums may also be inaccessible, organized at great distances for some citizens or rely on technology that many citizens cannot access.</w:t>
      </w:r>
    </w:p>
    <w:p w14:paraId="65D2091E" w14:textId="4B08EF92" w:rsidR="00667486" w:rsidRDefault="00667486" w:rsidP="005F7B50">
      <w:pPr>
        <w:jc w:val="both"/>
        <w:rPr>
          <w:lang w:val="en-US"/>
        </w:rPr>
      </w:pPr>
      <w:r w:rsidRPr="00667486">
        <w:rPr>
          <w:b/>
          <w:bCs/>
          <w:lang w:val="en-US"/>
        </w:rPr>
        <w:t>As with transparency, however, citizens also have a role to play, and they are not always aware of or willing to play it.</w:t>
      </w:r>
      <w:r>
        <w:rPr>
          <w:lang w:val="en-US"/>
        </w:rPr>
        <w:t xml:space="preserve">  Some citizens are unaware of the purpose of participation, while others understand but still do not participate.  This apathy ensures that there is little pressure on government to change its approach.</w:t>
      </w:r>
      <w:r w:rsidR="005774F8">
        <w:rPr>
          <w:lang w:val="en-US"/>
        </w:rPr>
        <w:t xml:space="preserve">  Because ordinary citizens do not fully understand budget process or choices, and because they are unable to participate in critical spaces like Sector Working Groups, they are not able to make their voices heard when important budget decisions are made.</w:t>
      </w:r>
    </w:p>
    <w:p w14:paraId="63336D88" w14:textId="3805A7EB" w:rsidR="00667486" w:rsidRPr="00667486" w:rsidRDefault="00667486" w:rsidP="005F7B50">
      <w:pPr>
        <w:jc w:val="both"/>
        <w:rPr>
          <w:i/>
          <w:iCs/>
          <w:lang w:val="en-US"/>
        </w:rPr>
      </w:pPr>
      <w:r w:rsidRPr="00667486">
        <w:rPr>
          <w:i/>
          <w:iCs/>
          <w:lang w:val="en-US"/>
        </w:rPr>
        <w:t>What can we do about it?</w:t>
      </w:r>
    </w:p>
    <w:p w14:paraId="5D709072" w14:textId="254DDCC2" w:rsidR="00667486" w:rsidRDefault="00667486" w:rsidP="005F7B50">
      <w:pPr>
        <w:jc w:val="both"/>
        <w:rPr>
          <w:lang w:val="en-US"/>
        </w:rPr>
      </w:pPr>
      <w:r w:rsidRPr="00667486">
        <w:rPr>
          <w:b/>
          <w:bCs/>
          <w:lang w:val="en-US"/>
        </w:rPr>
        <w:t xml:space="preserve">First, and again as with transparency, we must build the awareness, </w:t>
      </w:r>
      <w:proofErr w:type="gramStart"/>
      <w:r w:rsidRPr="00667486">
        <w:rPr>
          <w:b/>
          <w:bCs/>
          <w:lang w:val="en-US"/>
        </w:rPr>
        <w:t>capacity</w:t>
      </w:r>
      <w:proofErr w:type="gramEnd"/>
      <w:r w:rsidRPr="00667486">
        <w:rPr>
          <w:b/>
          <w:bCs/>
          <w:lang w:val="en-US"/>
        </w:rPr>
        <w:t xml:space="preserve"> and interest of citizens to engage with budgets.</w:t>
      </w:r>
      <w:r>
        <w:rPr>
          <w:lang w:val="en-US"/>
        </w:rPr>
        <w:t xml:space="preserve">  </w:t>
      </w:r>
      <w:proofErr w:type="gramStart"/>
      <w:r>
        <w:rPr>
          <w:lang w:val="en-US"/>
        </w:rPr>
        <w:t>Thus</w:t>
      </w:r>
      <w:proofErr w:type="gramEnd"/>
      <w:r>
        <w:rPr>
          <w:lang w:val="en-US"/>
        </w:rPr>
        <w:t xml:space="preserve"> the kind of bespoke training we discussed above will also serve Output</w:t>
      </w:r>
      <w:r w:rsidR="003D26FE">
        <w:rPr>
          <w:lang w:val="en-US"/>
        </w:rPr>
        <w:t xml:space="preserve"> 2. </w:t>
      </w:r>
    </w:p>
    <w:p w14:paraId="14DAEE82" w14:textId="1F5CAAEE" w:rsidR="00667486" w:rsidRDefault="00C01F20" w:rsidP="005F7B50">
      <w:pPr>
        <w:jc w:val="both"/>
        <w:rPr>
          <w:lang w:val="en-US"/>
        </w:rPr>
      </w:pPr>
      <w:r w:rsidRPr="00C01F20">
        <w:rPr>
          <w:b/>
          <w:bCs/>
          <w:lang w:val="en-US"/>
        </w:rPr>
        <w:lastRenderedPageBreak/>
        <w:t>Second, we will work with government officials to build their capacity to organize better participatory forums and provide more meaningful information to citizens</w:t>
      </w:r>
      <w:r>
        <w:rPr>
          <w:lang w:val="en-US"/>
        </w:rPr>
        <w:t xml:space="preserve">.  </w:t>
      </w:r>
      <w:r w:rsidR="00A25F88">
        <w:rPr>
          <w:lang w:val="en-US"/>
        </w:rPr>
        <w:t>As with transparency, we will undertake to enhance government understanding and capacity to share information and organize engagement with the public.  This will take the form of</w:t>
      </w:r>
      <w:r w:rsidR="00F33480">
        <w:rPr>
          <w:lang w:val="en-US"/>
        </w:rPr>
        <w:t xml:space="preserve"> tailored technical assistance and successive mentorship </w:t>
      </w:r>
      <w:proofErr w:type="spellStart"/>
      <w:r w:rsidR="008E7F5F">
        <w:rPr>
          <w:lang w:val="en-US"/>
        </w:rPr>
        <w:t>programmes</w:t>
      </w:r>
      <w:proofErr w:type="spellEnd"/>
      <w:r w:rsidR="008E7F5F">
        <w:rPr>
          <w:lang w:val="en-US"/>
        </w:rPr>
        <w:t xml:space="preserve"> to county officials on deliberative approaches to public participation,</w:t>
      </w:r>
      <w:r w:rsidR="00A15540">
        <w:rPr>
          <w:lang w:val="en-US"/>
        </w:rPr>
        <w:t xml:space="preserve"> facilitat</w:t>
      </w:r>
      <w:r w:rsidR="00235484">
        <w:rPr>
          <w:lang w:val="en-US"/>
        </w:rPr>
        <w:t>ion of</w:t>
      </w:r>
      <w:r w:rsidR="00A15540">
        <w:rPr>
          <w:lang w:val="en-US"/>
        </w:rPr>
        <w:t xml:space="preserve"> collaborative feedback sessions between representatives of interest groups and public officials,</w:t>
      </w:r>
      <w:r w:rsidR="008E7F5F">
        <w:rPr>
          <w:lang w:val="en-US"/>
        </w:rPr>
        <w:t xml:space="preserve"> </w:t>
      </w:r>
      <w:r w:rsidR="00235484">
        <w:rPr>
          <w:lang w:val="en-US"/>
        </w:rPr>
        <w:t xml:space="preserve">and </w:t>
      </w:r>
      <w:r w:rsidR="008E7F5F">
        <w:rPr>
          <w:lang w:val="en-US"/>
        </w:rPr>
        <w:t xml:space="preserve">collaboration in </w:t>
      </w:r>
      <w:r w:rsidR="00235484">
        <w:rPr>
          <w:lang w:val="en-US"/>
        </w:rPr>
        <w:t xml:space="preserve">the </w:t>
      </w:r>
      <w:r w:rsidR="008E7F5F">
        <w:rPr>
          <w:lang w:val="en-US"/>
        </w:rPr>
        <w:t xml:space="preserve">design of interactive digital approaches that facilitate public participation remotely, to ensure </w:t>
      </w:r>
      <w:r w:rsidR="00235484">
        <w:rPr>
          <w:lang w:val="en-US"/>
        </w:rPr>
        <w:t xml:space="preserve">that </w:t>
      </w:r>
      <w:r w:rsidR="008E7F5F">
        <w:rPr>
          <w:lang w:val="en-US"/>
        </w:rPr>
        <w:t xml:space="preserve">citizens are able access budget information and participate in the budget process.    </w:t>
      </w:r>
      <w:r>
        <w:rPr>
          <w:lang w:val="en-US"/>
        </w:rPr>
        <w:t xml:space="preserve">  </w:t>
      </w:r>
    </w:p>
    <w:p w14:paraId="35725010" w14:textId="7F22FFD9" w:rsidR="005774F8" w:rsidRPr="00BE7293" w:rsidRDefault="00C01F20" w:rsidP="005F7B50">
      <w:pPr>
        <w:jc w:val="both"/>
        <w:rPr>
          <w:lang w:val="en-US"/>
        </w:rPr>
      </w:pPr>
      <w:r w:rsidRPr="00C01F20">
        <w:rPr>
          <w:b/>
          <w:bCs/>
          <w:lang w:val="en-US"/>
        </w:rPr>
        <w:t xml:space="preserve">Third, </w:t>
      </w:r>
      <w:r w:rsidR="005774F8">
        <w:rPr>
          <w:b/>
          <w:bCs/>
          <w:lang w:val="en-US"/>
        </w:rPr>
        <w:t xml:space="preserve">we will expand and deepen our Annual Shadow Budget process to incorporate more stakeholders and more robust analysis of budget choices.  </w:t>
      </w:r>
      <w:r w:rsidR="005774F8">
        <w:rPr>
          <w:lang w:val="en-US"/>
        </w:rPr>
        <w:t xml:space="preserve">Last year, we overhauled our Shadow Budget to ask more specific and pointed questions about government allocation decisions and performance at the sector level.  Going forward, we will refine this approach, working year-round to deepen our knowledge of sector performance and choices, and engaging more fully with experts outside of government.  We will also bring citizens into a shadow sector working group process so that they can learn to engage with budget formulation more effectively over time. </w:t>
      </w:r>
    </w:p>
    <w:p w14:paraId="64C4540B" w14:textId="57174731" w:rsidR="00C01F20" w:rsidRPr="00B42B08" w:rsidRDefault="005774F8" w:rsidP="005F7B50">
      <w:pPr>
        <w:jc w:val="both"/>
        <w:rPr>
          <w:lang w:val="en-US"/>
        </w:rPr>
      </w:pPr>
      <w:r>
        <w:rPr>
          <w:b/>
          <w:bCs/>
          <w:lang w:val="en-US"/>
        </w:rPr>
        <w:t xml:space="preserve">Fourth, </w:t>
      </w:r>
      <w:r w:rsidR="00C01F20" w:rsidRPr="00C01F20">
        <w:rPr>
          <w:b/>
          <w:bCs/>
          <w:lang w:val="en-US"/>
        </w:rPr>
        <w:t>we will carry out assessments of participatory practices to generate better standards for participation.</w:t>
      </w:r>
      <w:r w:rsidR="00A25F88">
        <w:rPr>
          <w:b/>
          <w:bCs/>
          <w:lang w:val="en-US"/>
        </w:rPr>
        <w:t xml:space="preserve">  </w:t>
      </w:r>
      <w:r w:rsidR="00A25F88">
        <w:rPr>
          <w:lang w:val="en-US"/>
        </w:rPr>
        <w:t>While the OBS and CBTS capture some information about participation practices, they are not sufficiently detailed to</w:t>
      </w:r>
      <w:r w:rsidR="009036D9">
        <w:rPr>
          <w:lang w:val="en-US"/>
        </w:rPr>
        <w:t xml:space="preserve"> assess whether public participation </w:t>
      </w:r>
      <w:r w:rsidR="00EC2FC7">
        <w:rPr>
          <w:lang w:val="en-US"/>
        </w:rPr>
        <w:t>undertaken by the national and county governments is</w:t>
      </w:r>
      <w:r w:rsidR="009036D9">
        <w:rPr>
          <w:lang w:val="en-US"/>
        </w:rPr>
        <w:t xml:space="preserve"> meaningful and the extent to which it influences the decisions made</w:t>
      </w:r>
      <w:r w:rsidR="00EC2FC7">
        <w:rPr>
          <w:lang w:val="en-US"/>
        </w:rPr>
        <w:t>. These two assessments will be complemented by an in-depth evaluation of the effectiveness of public participation in shaping policy choices, the quality of citizen</w:t>
      </w:r>
      <w:r w:rsidR="00235484">
        <w:rPr>
          <w:lang w:val="en-US"/>
        </w:rPr>
        <w:t>s’</w:t>
      </w:r>
      <w:r w:rsidR="00EC2FC7">
        <w:rPr>
          <w:lang w:val="en-US"/>
        </w:rPr>
        <w:t xml:space="preserve"> input and their impact in the budget process. This in-depth assessment will be useful in establishing a robust benchmark for public participation that can improve the quality of public participation. </w:t>
      </w:r>
    </w:p>
    <w:p w14:paraId="5F97F846" w14:textId="5D10578C" w:rsidR="00C01F20" w:rsidRDefault="009328A1" w:rsidP="005F7B50">
      <w:pPr>
        <w:pStyle w:val="Heading2"/>
        <w:jc w:val="both"/>
        <w:rPr>
          <w:lang w:val="en-US"/>
        </w:rPr>
      </w:pPr>
      <w:bookmarkStart w:id="11" w:name="_Toc149824902"/>
      <w:r>
        <w:rPr>
          <w:lang w:val="en-US"/>
        </w:rPr>
        <w:t xml:space="preserve">Outcome 3: Kenya’s public finances better recognize existing inequalities and promote greater equity across regions and </w:t>
      </w:r>
      <w:proofErr w:type="gramStart"/>
      <w:r>
        <w:rPr>
          <w:lang w:val="en-US"/>
        </w:rPr>
        <w:t>genders</w:t>
      </w:r>
      <w:bookmarkEnd w:id="11"/>
      <w:proofErr w:type="gramEnd"/>
    </w:p>
    <w:p w14:paraId="7B3ED95A" w14:textId="054075A5" w:rsidR="00860C24" w:rsidRPr="009328A1" w:rsidRDefault="009328A1" w:rsidP="005F7B50">
      <w:pPr>
        <w:jc w:val="both"/>
        <w:rPr>
          <w:lang w:val="en-US"/>
        </w:rPr>
      </w:pPr>
      <w:r>
        <w:rPr>
          <w:lang w:val="en-US"/>
        </w:rPr>
        <w:t>This outcome recognizes that, in spite of some progress in reducing inequalities in Kenya in recent years, there are still significant disparities across regions, and among individuals d</w:t>
      </w:r>
      <w:r w:rsidR="00E268B4">
        <w:rPr>
          <w:lang w:val="en-US"/>
        </w:rPr>
        <w:t>ue</w:t>
      </w:r>
      <w:r>
        <w:rPr>
          <w:lang w:val="en-US"/>
        </w:rPr>
        <w:t xml:space="preserve"> to their gender and income levels.  We aim to reduce these gaps over time.</w:t>
      </w:r>
    </w:p>
    <w:p w14:paraId="0FD3F6D7" w14:textId="09D9D05C" w:rsidR="009328A1" w:rsidRPr="009328A1" w:rsidRDefault="009328A1" w:rsidP="005F7B50">
      <w:pPr>
        <w:jc w:val="both"/>
        <w:rPr>
          <w:i/>
          <w:iCs/>
          <w:lang w:val="en-US"/>
        </w:rPr>
      </w:pPr>
      <w:r w:rsidRPr="009328A1">
        <w:rPr>
          <w:i/>
          <w:iCs/>
          <w:lang w:val="en-US"/>
        </w:rPr>
        <w:t>Why does inequality persist?</w:t>
      </w:r>
    </w:p>
    <w:p w14:paraId="7CCC0D3E" w14:textId="77777777" w:rsidR="009328A1" w:rsidRDefault="009328A1" w:rsidP="005F7B50">
      <w:pPr>
        <w:jc w:val="both"/>
        <w:rPr>
          <w:lang w:val="en-US"/>
        </w:rPr>
      </w:pPr>
      <w:r>
        <w:rPr>
          <w:b/>
          <w:bCs/>
          <w:lang w:val="en-US"/>
        </w:rPr>
        <w:t xml:space="preserve">While the revenue sharing formula has introduced progressive principles into Kenya’s public finances, it only covers a small share of public spending in the country.  </w:t>
      </w:r>
      <w:r>
        <w:rPr>
          <w:lang w:val="en-US"/>
        </w:rPr>
        <w:t>The majority of spending on key areas such as health, education, and infrastructure is still controlled at the national level.  The distribution of this spending remains opaque, and does not follow equity-enhancing formulas.</w:t>
      </w:r>
    </w:p>
    <w:p w14:paraId="1B57D5EA" w14:textId="435D76EE" w:rsidR="009328A1" w:rsidRDefault="009328A1" w:rsidP="005F7B50">
      <w:pPr>
        <w:jc w:val="both"/>
        <w:rPr>
          <w:lang w:val="en-US"/>
        </w:rPr>
      </w:pPr>
      <w:r w:rsidRPr="009328A1">
        <w:rPr>
          <w:b/>
          <w:bCs/>
          <w:lang w:val="en-US"/>
        </w:rPr>
        <w:t>As is typical, there are winners and losers in distributive battles for resources, and the winners tend to want to protect their interests</w:t>
      </w:r>
      <w:r>
        <w:rPr>
          <w:lang w:val="en-US"/>
        </w:rPr>
        <w:t>.   To the extent that some regions and individuals in Kenya are better-off than others, they resist reforms that would lead to greater equity but threaten their dominance.  Those who would benefit from such reforms are also often not as well-organized or influential.</w:t>
      </w:r>
    </w:p>
    <w:p w14:paraId="1E2ED161" w14:textId="4B401534" w:rsidR="009328A1" w:rsidRDefault="009328A1" w:rsidP="005F7B50">
      <w:pPr>
        <w:jc w:val="both"/>
        <w:rPr>
          <w:lang w:val="en-US"/>
        </w:rPr>
      </w:pPr>
      <w:r w:rsidRPr="009328A1">
        <w:rPr>
          <w:b/>
          <w:bCs/>
          <w:lang w:val="en-US"/>
        </w:rPr>
        <w:t>Various policies, particularly those related to the use of tax expenditures, remain opaque, and data on their impact and beneficiaries is unavailable</w:t>
      </w:r>
      <w:r>
        <w:rPr>
          <w:lang w:val="en-US"/>
        </w:rPr>
        <w:t xml:space="preserve">.  This makes it hard to know whether such tax incentives achieve their targets, and to what extent their impacts are equalizing or exacerbate inequality.  </w:t>
      </w:r>
    </w:p>
    <w:p w14:paraId="64E92C35" w14:textId="11688CE6" w:rsidR="00E33017" w:rsidRPr="009328A1" w:rsidRDefault="00E33017" w:rsidP="005F7B50">
      <w:pPr>
        <w:jc w:val="both"/>
        <w:rPr>
          <w:lang w:val="en-US"/>
        </w:rPr>
      </w:pPr>
      <w:r w:rsidRPr="00E33017">
        <w:rPr>
          <w:b/>
          <w:bCs/>
          <w:lang w:val="en-US"/>
        </w:rPr>
        <w:lastRenderedPageBreak/>
        <w:t xml:space="preserve">Attempts to implement gender-responsive budgeting have met with resistance and </w:t>
      </w:r>
      <w:r w:rsidR="003209BD">
        <w:rPr>
          <w:b/>
          <w:bCs/>
          <w:lang w:val="en-US"/>
        </w:rPr>
        <w:t xml:space="preserve">weak </w:t>
      </w:r>
      <w:r w:rsidRPr="00E33017">
        <w:rPr>
          <w:b/>
          <w:bCs/>
          <w:lang w:val="en-US"/>
        </w:rPr>
        <w:t>capacity on the part of government officials</w:t>
      </w:r>
      <w:r>
        <w:rPr>
          <w:lang w:val="en-US"/>
        </w:rPr>
        <w:t>.</w:t>
      </w:r>
      <w:r w:rsidR="00A15540" w:rsidRPr="00A15540">
        <w:t xml:space="preserve"> </w:t>
      </w:r>
      <w:r w:rsidR="00A15540">
        <w:t>W</w:t>
      </w:r>
      <w:r w:rsidR="00A15540" w:rsidRPr="00222CA2">
        <w:t xml:space="preserve">hile networks to support women leaders exist, such as Kenya Women Parliamentarian </w:t>
      </w:r>
      <w:r w:rsidR="00157652" w:rsidRPr="00222CA2">
        <w:t>Association (</w:t>
      </w:r>
      <w:r w:rsidR="00D44050" w:rsidRPr="00222CA2">
        <w:t>KEWOPA</w:t>
      </w:r>
      <w:r w:rsidR="00A15540" w:rsidRPr="00222CA2">
        <w:t>), the</w:t>
      </w:r>
      <w:r w:rsidR="00A15540">
        <w:t xml:space="preserve">ir reach is limited, </w:t>
      </w:r>
      <w:r w:rsidR="00A15540" w:rsidRPr="00222CA2">
        <w:t xml:space="preserve">particularly </w:t>
      </w:r>
      <w:r w:rsidR="00A15540">
        <w:t>with respect to public finance management, and</w:t>
      </w:r>
      <w:r w:rsidR="003209BD">
        <w:t xml:space="preserve"> they are not able to </w:t>
      </w:r>
      <w:r w:rsidR="00A15540">
        <w:t>conven</w:t>
      </w:r>
      <w:r w:rsidR="003209BD">
        <w:t>e</w:t>
      </w:r>
      <w:r w:rsidR="00A15540">
        <w:t xml:space="preserve"> </w:t>
      </w:r>
      <w:r w:rsidR="003209BD">
        <w:t xml:space="preserve">the </w:t>
      </w:r>
      <w:r w:rsidR="00A15540">
        <w:t xml:space="preserve">public to </w:t>
      </w:r>
      <w:r w:rsidR="00AA0207">
        <w:t>make</w:t>
      </w:r>
      <w:r w:rsidR="005E5360">
        <w:t xml:space="preserve"> budget choices </w:t>
      </w:r>
      <w:r w:rsidR="00E66D0D">
        <w:t>that promote</w:t>
      </w:r>
      <w:r w:rsidR="00A15540">
        <w:t xml:space="preserve"> inclusive development</w:t>
      </w:r>
      <w:r w:rsidR="00D44050">
        <w:t xml:space="preserve">. </w:t>
      </w:r>
      <w:r>
        <w:rPr>
          <w:lang w:val="en-US"/>
        </w:rPr>
        <w:t xml:space="preserve">  There is a need for better guidelines and more commitment from top leadership to implement gender-equalizing policies</w:t>
      </w:r>
      <w:r w:rsidR="00D44050">
        <w:t xml:space="preserve">. A broader understanding of the value of gender-responsiveness in policymaking and budgeting </w:t>
      </w:r>
      <w:r w:rsidR="003209BD">
        <w:t>by</w:t>
      </w:r>
      <w:r w:rsidR="00D44050">
        <w:t xml:space="preserve"> the top leadership</w:t>
      </w:r>
      <w:r w:rsidR="003209BD">
        <w:t xml:space="preserve"> would</w:t>
      </w:r>
      <w:r w:rsidR="00D44050">
        <w:t xml:space="preserve"> </w:t>
      </w:r>
      <w:r w:rsidR="003209BD">
        <w:t>help promote</w:t>
      </w:r>
      <w:r w:rsidR="00D44050">
        <w:t xml:space="preserve"> inclusion and equity in the public provision of opportunities for development</w:t>
      </w:r>
      <w:r>
        <w:rPr>
          <w:lang w:val="en-US"/>
        </w:rPr>
        <w:t xml:space="preserve">.  </w:t>
      </w:r>
    </w:p>
    <w:p w14:paraId="4CE5C1EF" w14:textId="2179C4EB" w:rsidR="009328A1" w:rsidRPr="00E33017" w:rsidRDefault="00E33017" w:rsidP="005F7B50">
      <w:pPr>
        <w:jc w:val="both"/>
        <w:rPr>
          <w:i/>
          <w:iCs/>
          <w:lang w:val="en-US"/>
        </w:rPr>
      </w:pPr>
      <w:r w:rsidRPr="00E33017">
        <w:rPr>
          <w:i/>
          <w:iCs/>
          <w:lang w:val="en-US"/>
        </w:rPr>
        <w:t>What can we do about it?</w:t>
      </w:r>
    </w:p>
    <w:p w14:paraId="050480F6" w14:textId="44760002" w:rsidR="00E33017" w:rsidRPr="000124D0" w:rsidRDefault="00E33017" w:rsidP="005F7B50">
      <w:pPr>
        <w:jc w:val="both"/>
      </w:pPr>
      <w:r w:rsidRPr="000124D0">
        <w:rPr>
          <w:b/>
          <w:bCs/>
          <w:lang w:val="en-US"/>
        </w:rPr>
        <w:t xml:space="preserve">Build capacity of government officials to better incorporate equity considerations into their analysis of policy decisions.  </w:t>
      </w:r>
      <w:r w:rsidR="00C644E8" w:rsidRPr="000124D0">
        <w:rPr>
          <w:b/>
          <w:bCs/>
          <w:lang w:val="en-US"/>
        </w:rPr>
        <w:t xml:space="preserve"> </w:t>
      </w:r>
      <w:r w:rsidR="000124D0" w:rsidRPr="000124D0">
        <w:t xml:space="preserve"> </w:t>
      </w:r>
      <w:r w:rsidR="000124D0">
        <w:t xml:space="preserve">This will entail working with technical officers and lawmakers </w:t>
      </w:r>
      <w:r w:rsidR="005E5360">
        <w:t>and</w:t>
      </w:r>
      <w:r w:rsidR="000124D0">
        <w:t xml:space="preserve"> provid</w:t>
      </w:r>
      <w:r w:rsidR="005E5360">
        <w:t>ing then with basic</w:t>
      </w:r>
      <w:r w:rsidR="000124D0">
        <w:t xml:space="preserve"> data</w:t>
      </w:r>
      <w:r w:rsidR="005E5360">
        <w:t xml:space="preserve"> for</w:t>
      </w:r>
      <w:r w:rsidR="000124D0">
        <w:t xml:space="preserve"> learning</w:t>
      </w:r>
      <w:r w:rsidR="005E5360">
        <w:t xml:space="preserve"> and the proper o</w:t>
      </w:r>
      <w:r w:rsidR="000124D0">
        <w:t>rientation</w:t>
      </w:r>
      <w:r w:rsidR="005E5360">
        <w:t xml:space="preserve"> in promoting equity</w:t>
      </w:r>
      <w:r w:rsidR="000124D0">
        <w:t>. These will include our well-tested and constantly evolving toolkits including the Gender Responsive Budgeting toolkit, drawn from resources developed by the Society for International Development (SID) and the NGEC Gender Responsive Budgeting Guidelines.</w:t>
      </w:r>
      <w:r w:rsidR="003209BD">
        <w:t xml:space="preserve"> </w:t>
      </w:r>
      <w:r w:rsidR="005774F8" w:rsidRPr="000124D0">
        <w:rPr>
          <w:lang w:val="en-US"/>
        </w:rPr>
        <w:t xml:space="preserve">Drawing on existing materials from the government, the International Budget </w:t>
      </w:r>
      <w:proofErr w:type="gramStart"/>
      <w:r w:rsidR="005774F8" w:rsidRPr="000124D0">
        <w:rPr>
          <w:lang w:val="en-US"/>
        </w:rPr>
        <w:t>Partnership</w:t>
      </w:r>
      <w:proofErr w:type="gramEnd"/>
      <w:r w:rsidR="005774F8" w:rsidRPr="000124D0">
        <w:rPr>
          <w:lang w:val="en-US"/>
        </w:rPr>
        <w:t xml:space="preserve"> and others, we will work with officials involved in decision-making on practical steps to incorporate equity analysis into their work.  </w:t>
      </w:r>
    </w:p>
    <w:p w14:paraId="56E32B2A" w14:textId="58F94FD0" w:rsidR="00E33017" w:rsidRPr="00B42B08" w:rsidRDefault="00E33017" w:rsidP="005F7B50">
      <w:pPr>
        <w:jc w:val="both"/>
        <w:rPr>
          <w:lang w:val="en-US"/>
        </w:rPr>
      </w:pPr>
      <w:r>
        <w:rPr>
          <w:b/>
          <w:bCs/>
          <w:lang w:val="en-US"/>
        </w:rPr>
        <w:t>Carry out analysis of government tax expenditure reports and advocate for increased transparency.</w:t>
      </w:r>
      <w:r w:rsidR="003B60F7">
        <w:rPr>
          <w:b/>
          <w:bCs/>
          <w:lang w:val="en-US"/>
        </w:rPr>
        <w:t xml:space="preserve">  </w:t>
      </w:r>
      <w:r w:rsidR="003B60F7">
        <w:rPr>
          <w:lang w:val="en-US"/>
        </w:rPr>
        <w:t xml:space="preserve">IPF has already launched its first annual review of the government’s tax expenditure reports.  We will continue to </w:t>
      </w:r>
      <w:r w:rsidR="0008659C">
        <w:rPr>
          <w:lang w:val="en-US"/>
        </w:rPr>
        <w:t>analyze these reports, as well as develop further analysis of tax expenditures in-house over time, by selecting a subset of incentives to research further</w:t>
      </w:r>
      <w:r w:rsidR="008B59A8">
        <w:rPr>
          <w:lang w:val="en-US"/>
        </w:rPr>
        <w:t>, model, and/or compare to other countries</w:t>
      </w:r>
      <w:r w:rsidR="0008659C">
        <w:rPr>
          <w:lang w:val="en-US"/>
        </w:rPr>
        <w:t>.</w:t>
      </w:r>
      <w:r w:rsidR="008B59A8">
        <w:rPr>
          <w:lang w:val="en-US"/>
        </w:rPr>
        <w:t xml:space="preserve">  </w:t>
      </w:r>
    </w:p>
    <w:p w14:paraId="6AA8F534" w14:textId="2A22BCF8" w:rsidR="00E33017" w:rsidRPr="003209BD" w:rsidRDefault="00E33017" w:rsidP="005F7B50">
      <w:pPr>
        <w:jc w:val="both"/>
        <w:rPr>
          <w:rFonts w:cstheme="minorHAnsi"/>
          <w:b/>
          <w:bCs/>
          <w:lang w:val="en-US"/>
        </w:rPr>
      </w:pPr>
      <w:r w:rsidRPr="003209BD">
        <w:rPr>
          <w:rFonts w:cstheme="minorHAnsi"/>
          <w:b/>
          <w:bCs/>
          <w:lang w:val="en-US"/>
        </w:rPr>
        <w:t xml:space="preserve">Work with citizens and County Budget Economic Forums to ensure that they consider inequalities within counties when participating in budget discussions. </w:t>
      </w:r>
      <w:r w:rsidR="00A25F88" w:rsidRPr="003209BD">
        <w:rPr>
          <w:rFonts w:cstheme="minorHAnsi"/>
          <w:b/>
          <w:bCs/>
          <w:lang w:val="en-US"/>
        </w:rPr>
        <w:t xml:space="preserve"> </w:t>
      </w:r>
      <w:r w:rsidR="00A25F88" w:rsidRPr="009079B2">
        <w:rPr>
          <w:rFonts w:eastAsia="Garamond" w:cstheme="minorHAnsi"/>
        </w:rPr>
        <w:t>We will work both with CBEF members and with other, large</w:t>
      </w:r>
      <w:r w:rsidR="003209BD">
        <w:rPr>
          <w:rFonts w:eastAsia="Garamond" w:cstheme="minorHAnsi"/>
        </w:rPr>
        <w:t>,</w:t>
      </w:r>
      <w:r w:rsidR="00A25F88" w:rsidRPr="005E5360">
        <w:rPr>
          <w:rFonts w:eastAsia="Garamond" w:cstheme="minorHAnsi"/>
        </w:rPr>
        <w:t xml:space="preserve"> organized grass-roots organizations, </w:t>
      </w:r>
      <w:r w:rsidR="00EC662F" w:rsidRPr="005E5360">
        <w:rPr>
          <w:rFonts w:eastAsia="Garamond" w:cstheme="minorHAnsi"/>
        </w:rPr>
        <w:t xml:space="preserve">such as </w:t>
      </w:r>
      <w:proofErr w:type="spellStart"/>
      <w:r w:rsidR="00EC662F" w:rsidRPr="005E5360">
        <w:rPr>
          <w:rFonts w:eastAsia="Garamond" w:cstheme="minorHAnsi"/>
        </w:rPr>
        <w:t>Muungano</w:t>
      </w:r>
      <w:proofErr w:type="spellEnd"/>
      <w:r w:rsidR="00EC662F" w:rsidRPr="005E5360">
        <w:rPr>
          <w:rFonts w:eastAsia="Garamond" w:cstheme="minorHAnsi"/>
        </w:rPr>
        <w:t xml:space="preserve"> Alliance</w:t>
      </w:r>
      <w:r w:rsidR="00A25F88" w:rsidRPr="005E5360">
        <w:rPr>
          <w:rFonts w:eastAsia="Garamond" w:cstheme="minorHAnsi"/>
        </w:rPr>
        <w:t>,</w:t>
      </w:r>
      <w:r w:rsidR="00EC662F" w:rsidRPr="005E5360">
        <w:rPr>
          <w:rFonts w:eastAsia="Garamond" w:cstheme="minorHAnsi"/>
        </w:rPr>
        <w:t xml:space="preserve"> which seek to improve the well-being of the urban poor in 21 counties. By collaborating with IPF, the alliance will not only help in mobilization, but </w:t>
      </w:r>
      <w:r w:rsidR="00A25F88" w:rsidRPr="005E5360">
        <w:rPr>
          <w:rFonts w:eastAsia="Garamond" w:cstheme="minorHAnsi"/>
        </w:rPr>
        <w:t xml:space="preserve">will gain </w:t>
      </w:r>
      <w:r w:rsidR="00EC662F" w:rsidRPr="005E5360">
        <w:rPr>
          <w:rFonts w:eastAsia="Garamond" w:cstheme="minorHAnsi"/>
        </w:rPr>
        <w:t xml:space="preserve">insights into </w:t>
      </w:r>
      <w:r w:rsidR="00A25F88" w:rsidRPr="005E5360">
        <w:rPr>
          <w:rFonts w:eastAsia="Garamond" w:cstheme="minorHAnsi"/>
        </w:rPr>
        <w:t xml:space="preserve">the </w:t>
      </w:r>
      <w:r w:rsidR="00EC662F" w:rsidRPr="005E5360">
        <w:rPr>
          <w:rFonts w:eastAsia="Garamond" w:cstheme="minorHAnsi"/>
        </w:rPr>
        <w:t>budgetary process.</w:t>
      </w:r>
      <w:r w:rsidR="00A25F88" w:rsidRPr="005E5360">
        <w:rPr>
          <w:rFonts w:eastAsia="Garamond" w:cstheme="minorHAnsi"/>
        </w:rPr>
        <w:t xml:space="preserve">  Working together, we can restructure CBEF to ensure that </w:t>
      </w:r>
      <w:r w:rsidR="00C644E8" w:rsidRPr="005E5360">
        <w:rPr>
          <w:rFonts w:eastAsia="Garamond" w:cstheme="minorHAnsi"/>
        </w:rPr>
        <w:t>it represents the interests of the poor and marginalized and takes inequality seriously during budget review.</w:t>
      </w:r>
    </w:p>
    <w:p w14:paraId="4D177F52" w14:textId="4F5112AB" w:rsidR="00E33017" w:rsidRPr="003209BD" w:rsidRDefault="00345A36" w:rsidP="005F7B50">
      <w:pPr>
        <w:jc w:val="both"/>
        <w:rPr>
          <w:rFonts w:cstheme="minorHAnsi"/>
          <w:lang w:val="en-US"/>
        </w:rPr>
      </w:pPr>
      <w:r w:rsidRPr="003209BD">
        <w:rPr>
          <w:rFonts w:cstheme="minorHAnsi"/>
          <w:b/>
          <w:bCs/>
          <w:lang w:val="en-US"/>
        </w:rPr>
        <w:t>Analyze national budgets and advocate for both more transparency around the distribution of the budget regionally and across genders, and for improved equity in that distribution.</w:t>
      </w:r>
      <w:r w:rsidR="00C644E8" w:rsidRPr="003209BD">
        <w:rPr>
          <w:rFonts w:cstheme="minorHAnsi"/>
          <w:b/>
          <w:bCs/>
          <w:lang w:val="en-US"/>
        </w:rPr>
        <w:t xml:space="preserve">  </w:t>
      </w:r>
      <w:r w:rsidR="00C644E8" w:rsidRPr="003209BD">
        <w:rPr>
          <w:rFonts w:cstheme="minorHAnsi"/>
          <w:lang w:val="en-US"/>
        </w:rPr>
        <w:t xml:space="preserve">Other than a small IBP study carried out a few years ago, there have not been recent and systematic attempts to analyze the distribution of the national budget (as opposed to county revenue sharing).  We will adopt a sector-wise approach to looking at this question, digging into issues of transparency and equity in budgeting for infrastructure, health, climate and so on.  </w:t>
      </w:r>
      <w:r w:rsidR="00B31E6E" w:rsidRPr="003209BD">
        <w:rPr>
          <w:rFonts w:cstheme="minorHAnsi"/>
          <w:lang w:val="en-US"/>
        </w:rPr>
        <w:t>We will use our results to advocate for more equitable national budgets.</w:t>
      </w:r>
    </w:p>
    <w:p w14:paraId="66442683" w14:textId="5DD68A2F" w:rsidR="00C01F20" w:rsidRDefault="00C01F20" w:rsidP="005F7B50">
      <w:pPr>
        <w:jc w:val="both"/>
        <w:rPr>
          <w:b/>
          <w:bCs/>
          <w:lang w:val="en-US"/>
        </w:rPr>
      </w:pPr>
    </w:p>
    <w:p w14:paraId="452A8EC2" w14:textId="0865CACF" w:rsidR="006016E5" w:rsidRDefault="00773289" w:rsidP="005F7B50">
      <w:pPr>
        <w:pStyle w:val="Heading2"/>
        <w:jc w:val="both"/>
        <w:rPr>
          <w:lang w:val="en-US"/>
        </w:rPr>
      </w:pPr>
      <w:bookmarkStart w:id="12" w:name="_Toc149824903"/>
      <w:r w:rsidRPr="00B42B08">
        <w:rPr>
          <w:lang w:val="en-US"/>
        </w:rPr>
        <w:t>Outcome 4:</w:t>
      </w:r>
      <w:r>
        <w:rPr>
          <w:b/>
          <w:bCs/>
          <w:lang w:val="en-US"/>
        </w:rPr>
        <w:t xml:space="preserve"> </w:t>
      </w:r>
      <w:r w:rsidR="006016E5" w:rsidRPr="00D26F73">
        <w:rPr>
          <w:lang w:val="en-US"/>
        </w:rPr>
        <w:t xml:space="preserve">Improved government accountability </w:t>
      </w:r>
      <w:r w:rsidR="006016E5">
        <w:rPr>
          <w:lang w:val="en-US"/>
        </w:rPr>
        <w:t xml:space="preserve">in public finance management </w:t>
      </w:r>
      <w:r w:rsidR="006016E5" w:rsidRPr="00D26F73">
        <w:rPr>
          <w:lang w:val="en-US"/>
        </w:rPr>
        <w:t>at county and national level</w:t>
      </w:r>
      <w:r w:rsidR="006016E5">
        <w:rPr>
          <w:lang w:val="en-US"/>
        </w:rPr>
        <w:t>s.</w:t>
      </w:r>
      <w:bookmarkEnd w:id="12"/>
    </w:p>
    <w:p w14:paraId="51563544" w14:textId="77777777" w:rsidR="00893010" w:rsidRPr="00B42B08" w:rsidRDefault="00893010" w:rsidP="005F7B50">
      <w:pPr>
        <w:jc w:val="both"/>
        <w:rPr>
          <w:rFonts w:cstheme="minorHAnsi"/>
          <w:lang w:val="en-US"/>
        </w:rPr>
      </w:pPr>
    </w:p>
    <w:p w14:paraId="215A224D" w14:textId="0C383274" w:rsidR="007F5208" w:rsidRPr="00B42B08" w:rsidRDefault="00484431" w:rsidP="005F7B50">
      <w:pPr>
        <w:jc w:val="both"/>
        <w:rPr>
          <w:rFonts w:cstheme="minorHAnsi"/>
          <w:i/>
          <w:iCs/>
          <w:lang w:val="en-US"/>
        </w:rPr>
      </w:pPr>
      <w:r w:rsidRPr="00B42B08">
        <w:rPr>
          <w:rFonts w:cstheme="minorHAnsi"/>
          <w:i/>
          <w:iCs/>
          <w:lang w:val="en-US"/>
        </w:rPr>
        <w:t>Why does lack of accountability persist?</w:t>
      </w:r>
    </w:p>
    <w:p w14:paraId="465442B0" w14:textId="40DD8BA6" w:rsidR="007F5208" w:rsidRDefault="00893010" w:rsidP="005F7B50">
      <w:pPr>
        <w:jc w:val="both"/>
        <w:rPr>
          <w:rFonts w:cstheme="minorHAnsi"/>
          <w:lang w:val="en-US"/>
        </w:rPr>
      </w:pPr>
      <w:r>
        <w:rPr>
          <w:rFonts w:cstheme="minorHAnsi"/>
          <w:b/>
          <w:bCs/>
          <w:lang w:val="en-US"/>
        </w:rPr>
        <w:t>P</w:t>
      </w:r>
      <w:r w:rsidRPr="00B42B08">
        <w:rPr>
          <w:rFonts w:cstheme="minorHAnsi"/>
          <w:b/>
          <w:bCs/>
          <w:lang w:val="en-US"/>
        </w:rPr>
        <w:t>arliament</w:t>
      </w:r>
      <w:r>
        <w:rPr>
          <w:rFonts w:cstheme="minorHAnsi"/>
          <w:b/>
          <w:bCs/>
          <w:lang w:val="en-US"/>
        </w:rPr>
        <w:t xml:space="preserve"> and county assemblies do not prioritize budget engagement</w:t>
      </w:r>
      <w:r>
        <w:rPr>
          <w:rFonts w:cstheme="minorHAnsi"/>
          <w:lang w:val="en-US"/>
        </w:rPr>
        <w:t>.  P</w:t>
      </w:r>
      <w:r w:rsidR="007F5208" w:rsidRPr="007F5208">
        <w:rPr>
          <w:rFonts w:cstheme="minorHAnsi"/>
          <w:lang w:val="en-US"/>
        </w:rPr>
        <w:t>arliament</w:t>
      </w:r>
      <w:r>
        <w:rPr>
          <w:rFonts w:cstheme="minorHAnsi"/>
          <w:lang w:val="en-US"/>
        </w:rPr>
        <w:t xml:space="preserve"> tends to focus on a narrow range of politicized issues</w:t>
      </w:r>
      <w:r w:rsidR="007F5208" w:rsidRPr="007F5208">
        <w:rPr>
          <w:rFonts w:cstheme="minorHAnsi"/>
          <w:lang w:val="en-US"/>
        </w:rPr>
        <w:t xml:space="preserve">. Budgetary oversight </w:t>
      </w:r>
      <w:r>
        <w:rPr>
          <w:rFonts w:cstheme="minorHAnsi"/>
          <w:lang w:val="en-US"/>
        </w:rPr>
        <w:t xml:space="preserve">at both levels of government </w:t>
      </w:r>
      <w:r w:rsidR="007F5208" w:rsidRPr="007F5208">
        <w:rPr>
          <w:rFonts w:cstheme="minorHAnsi"/>
          <w:lang w:val="en-US"/>
        </w:rPr>
        <w:t xml:space="preserve">is likely to be overshadowed by politically charged issues, and therefore critical </w:t>
      </w:r>
      <w:r>
        <w:rPr>
          <w:rFonts w:cstheme="minorHAnsi"/>
          <w:lang w:val="en-US"/>
        </w:rPr>
        <w:t xml:space="preserve">public </w:t>
      </w:r>
      <w:r w:rsidR="007F5208" w:rsidRPr="007F5208">
        <w:rPr>
          <w:rFonts w:cstheme="minorHAnsi"/>
          <w:lang w:val="en-US"/>
        </w:rPr>
        <w:t>financ</w:t>
      </w:r>
      <w:r>
        <w:rPr>
          <w:rFonts w:cstheme="minorHAnsi"/>
          <w:lang w:val="en-US"/>
        </w:rPr>
        <w:t>e matters</w:t>
      </w:r>
      <w:r w:rsidR="007F5208" w:rsidRPr="007F5208">
        <w:rPr>
          <w:rFonts w:cstheme="minorHAnsi"/>
          <w:lang w:val="en-US"/>
        </w:rPr>
        <w:t xml:space="preserve"> may not receive the attention they deserve.</w:t>
      </w:r>
      <w:r>
        <w:rPr>
          <w:rFonts w:cstheme="minorHAnsi"/>
          <w:lang w:val="en-US"/>
        </w:rPr>
        <w:t xml:space="preserve"> </w:t>
      </w:r>
    </w:p>
    <w:p w14:paraId="2BC4B503" w14:textId="77287A01" w:rsidR="00C62901" w:rsidRDefault="00893010" w:rsidP="005F7B50">
      <w:pPr>
        <w:jc w:val="both"/>
        <w:rPr>
          <w:rFonts w:cstheme="minorHAnsi"/>
          <w:lang w:val="en-US"/>
        </w:rPr>
      </w:pPr>
      <w:r>
        <w:rPr>
          <w:rFonts w:cstheme="minorHAnsi"/>
          <w:b/>
          <w:bCs/>
          <w:lang w:val="en-US"/>
        </w:rPr>
        <w:t>There is a l</w:t>
      </w:r>
      <w:r w:rsidRPr="00B42B08">
        <w:rPr>
          <w:rFonts w:cstheme="minorHAnsi"/>
          <w:b/>
          <w:bCs/>
          <w:lang w:val="en-US"/>
        </w:rPr>
        <w:t xml:space="preserve">ack of parliamentary </w:t>
      </w:r>
      <w:r>
        <w:rPr>
          <w:rFonts w:cstheme="minorHAnsi"/>
          <w:b/>
          <w:bCs/>
          <w:lang w:val="en-US"/>
        </w:rPr>
        <w:t xml:space="preserve">and county assembly </w:t>
      </w:r>
      <w:r w:rsidRPr="00B42B08">
        <w:rPr>
          <w:rFonts w:cstheme="minorHAnsi"/>
          <w:b/>
          <w:bCs/>
          <w:lang w:val="en-US"/>
        </w:rPr>
        <w:t>capacity to provide oversight</w:t>
      </w:r>
      <w:r>
        <w:rPr>
          <w:rFonts w:cstheme="minorHAnsi"/>
          <w:lang w:val="en-US"/>
        </w:rPr>
        <w:t xml:space="preserve">.  </w:t>
      </w:r>
      <w:r w:rsidR="007F5208" w:rsidRPr="007F5208">
        <w:rPr>
          <w:rFonts w:cstheme="minorHAnsi"/>
          <w:lang w:val="en-US"/>
        </w:rPr>
        <w:t xml:space="preserve">Past PAC and PIC committee members identified </w:t>
      </w:r>
      <w:r w:rsidR="00DF2EBF" w:rsidRPr="007F5208">
        <w:rPr>
          <w:rFonts w:cstheme="minorHAnsi"/>
          <w:lang w:val="en-US"/>
        </w:rPr>
        <w:t>a lack</w:t>
      </w:r>
      <w:r w:rsidR="007F5208" w:rsidRPr="007F5208">
        <w:rPr>
          <w:rFonts w:cstheme="minorHAnsi"/>
          <w:lang w:val="en-US"/>
        </w:rPr>
        <w:t xml:space="preserve"> of capacity to scrutinize implementation reports from the National Treasury and the Office of the Controller of Budget. While there have been capacity-building efforts undertaken, they were often limited by the availability of financial resources and </w:t>
      </w:r>
      <w:r w:rsidR="00DF2EBF" w:rsidRPr="007F5208">
        <w:rPr>
          <w:rFonts w:cstheme="minorHAnsi"/>
          <w:lang w:val="en-US"/>
        </w:rPr>
        <w:t>the number</w:t>
      </w:r>
      <w:r w:rsidR="007F5208" w:rsidRPr="007F5208">
        <w:rPr>
          <w:rFonts w:cstheme="minorHAnsi"/>
          <w:lang w:val="en-US"/>
        </w:rPr>
        <w:t xml:space="preserve"> of staff, therefore not all requests for </w:t>
      </w:r>
      <w:r w:rsidR="00DF2EBF" w:rsidRPr="007F5208">
        <w:rPr>
          <w:rFonts w:cstheme="minorHAnsi"/>
          <w:lang w:val="en-US"/>
        </w:rPr>
        <w:t>training</w:t>
      </w:r>
      <w:r w:rsidR="007F5208" w:rsidRPr="007F5208">
        <w:rPr>
          <w:rFonts w:cstheme="minorHAnsi"/>
          <w:lang w:val="en-US"/>
        </w:rPr>
        <w:t xml:space="preserve"> were fulfilled.</w:t>
      </w:r>
      <w:r>
        <w:rPr>
          <w:rFonts w:cstheme="minorHAnsi"/>
          <w:lang w:val="en-US"/>
        </w:rPr>
        <w:t xml:space="preserve">  Committees are often reconstituted, while turnover in legislative bodies prevents capacity development over the longer term.  </w:t>
      </w:r>
      <w:r w:rsidR="0082488A">
        <w:rPr>
          <w:rFonts w:cstheme="minorHAnsi"/>
          <w:lang w:val="en-US"/>
        </w:rPr>
        <w:t>The Parliamentary Budget Office (PBO) on the other hand</w:t>
      </w:r>
      <w:r w:rsidR="0072336B">
        <w:rPr>
          <w:rFonts w:cstheme="minorHAnsi"/>
          <w:lang w:val="en-US"/>
        </w:rPr>
        <w:t xml:space="preserve"> is mandated to strengthen the capacity of committees on different thematic areas including public debt analysis, and public debt sustainability. The support of the PBO to the committees is demand driven but due to insufficient capacity, it is not always able to respond to all the demands from the committees and </w:t>
      </w:r>
      <w:r w:rsidR="00C62901">
        <w:rPr>
          <w:rFonts w:cstheme="minorHAnsi"/>
          <w:lang w:val="en-US"/>
        </w:rPr>
        <w:t xml:space="preserve">must </w:t>
      </w:r>
      <w:r w:rsidR="0072336B">
        <w:rPr>
          <w:rFonts w:cstheme="minorHAnsi"/>
          <w:lang w:val="en-US"/>
        </w:rPr>
        <w:t xml:space="preserve">outsource this expertise from researchers and consultants. </w:t>
      </w:r>
    </w:p>
    <w:p w14:paraId="6FF37508" w14:textId="68C17D26" w:rsidR="007F5208" w:rsidRDefault="00893010" w:rsidP="005F7B50">
      <w:pPr>
        <w:jc w:val="both"/>
        <w:rPr>
          <w:rFonts w:cstheme="minorHAnsi"/>
          <w:lang w:val="en-US"/>
        </w:rPr>
      </w:pPr>
      <w:r w:rsidRPr="00B42B08">
        <w:rPr>
          <w:rFonts w:cstheme="minorHAnsi"/>
          <w:b/>
          <w:bCs/>
          <w:lang w:val="en-US"/>
        </w:rPr>
        <w:t xml:space="preserve">Ineffective </w:t>
      </w:r>
      <w:r w:rsidR="007C1821">
        <w:rPr>
          <w:rFonts w:cstheme="minorHAnsi"/>
          <w:b/>
          <w:bCs/>
          <w:lang w:val="en-US"/>
        </w:rPr>
        <w:t>audit</w:t>
      </w:r>
      <w:r w:rsidR="007C1821" w:rsidRPr="00B42B08">
        <w:rPr>
          <w:rFonts w:cstheme="minorHAnsi"/>
          <w:b/>
          <w:bCs/>
          <w:lang w:val="en-US"/>
        </w:rPr>
        <w:t xml:space="preserve"> </w:t>
      </w:r>
      <w:r w:rsidRPr="00B42B08">
        <w:rPr>
          <w:rFonts w:cstheme="minorHAnsi"/>
          <w:b/>
          <w:bCs/>
          <w:lang w:val="en-US"/>
        </w:rPr>
        <w:t xml:space="preserve">institutions hamper parliamentary </w:t>
      </w:r>
      <w:r>
        <w:rPr>
          <w:rFonts w:cstheme="minorHAnsi"/>
          <w:b/>
          <w:bCs/>
          <w:lang w:val="en-US"/>
        </w:rPr>
        <w:t xml:space="preserve">and county assembly </w:t>
      </w:r>
      <w:r w:rsidRPr="00B42B08">
        <w:rPr>
          <w:rFonts w:cstheme="minorHAnsi"/>
          <w:b/>
          <w:bCs/>
          <w:lang w:val="en-US"/>
        </w:rPr>
        <w:t>activity</w:t>
      </w:r>
      <w:r>
        <w:rPr>
          <w:rFonts w:cstheme="minorHAnsi"/>
          <w:lang w:val="en-US"/>
        </w:rPr>
        <w:t xml:space="preserve">.  </w:t>
      </w:r>
      <w:r w:rsidR="007F5208" w:rsidRPr="007F5208">
        <w:rPr>
          <w:rFonts w:cstheme="minorHAnsi"/>
          <w:lang w:val="en-US"/>
        </w:rPr>
        <w:t xml:space="preserve">Delays in the </w:t>
      </w:r>
      <w:r w:rsidR="00DF2EBF" w:rsidRPr="007F5208">
        <w:rPr>
          <w:rFonts w:cstheme="minorHAnsi"/>
          <w:lang w:val="en-US"/>
        </w:rPr>
        <w:t>submission</w:t>
      </w:r>
      <w:r w:rsidR="007F5208" w:rsidRPr="007F5208">
        <w:rPr>
          <w:rFonts w:cstheme="minorHAnsi"/>
          <w:lang w:val="en-US"/>
        </w:rPr>
        <w:t xml:space="preserve"> of </w:t>
      </w:r>
      <w:r w:rsidR="007C1821">
        <w:rPr>
          <w:rFonts w:cstheme="minorHAnsi"/>
          <w:lang w:val="en-US"/>
        </w:rPr>
        <w:t>audit</w:t>
      </w:r>
      <w:r w:rsidR="007C1821" w:rsidRPr="007F5208">
        <w:rPr>
          <w:rFonts w:cstheme="minorHAnsi"/>
          <w:lang w:val="en-US"/>
        </w:rPr>
        <w:t xml:space="preserve"> </w:t>
      </w:r>
      <w:r w:rsidR="007F5208" w:rsidRPr="007F5208">
        <w:rPr>
          <w:rFonts w:cstheme="minorHAnsi"/>
          <w:lang w:val="en-US"/>
        </w:rPr>
        <w:t xml:space="preserve">reports by the </w:t>
      </w:r>
      <w:r w:rsidR="00C62901">
        <w:rPr>
          <w:rFonts w:cstheme="minorHAnsi"/>
          <w:lang w:val="en-US"/>
        </w:rPr>
        <w:t>audit</w:t>
      </w:r>
      <w:r w:rsidR="00C62901" w:rsidRPr="007F5208">
        <w:rPr>
          <w:rFonts w:cstheme="minorHAnsi"/>
          <w:lang w:val="en-US"/>
        </w:rPr>
        <w:t xml:space="preserve"> </w:t>
      </w:r>
      <w:r w:rsidR="007F5208" w:rsidRPr="007F5208">
        <w:rPr>
          <w:rFonts w:cstheme="minorHAnsi"/>
          <w:lang w:val="en-US"/>
        </w:rPr>
        <w:t xml:space="preserve">institutions </w:t>
      </w:r>
      <w:r w:rsidR="00DF2EBF" w:rsidRPr="007F5208">
        <w:rPr>
          <w:rFonts w:cstheme="minorHAnsi"/>
          <w:lang w:val="en-US"/>
        </w:rPr>
        <w:t>limit</w:t>
      </w:r>
      <w:r w:rsidR="007F5208" w:rsidRPr="007F5208">
        <w:rPr>
          <w:rFonts w:cstheme="minorHAnsi"/>
          <w:lang w:val="en-US"/>
        </w:rPr>
        <w:t xml:space="preserve"> the committees’ ability to scrutinize the reports in a timely manner. </w:t>
      </w:r>
      <w:r w:rsidR="00537C22">
        <w:rPr>
          <w:rFonts w:cstheme="minorHAnsi"/>
          <w:lang w:val="en-US"/>
        </w:rPr>
        <w:t xml:space="preserve"> Few people can read or understand audit reports, so although they identify substantial issues, the failure to communicate their findings to the public or the media dulls their impact.</w:t>
      </w:r>
    </w:p>
    <w:p w14:paraId="72DD0365" w14:textId="1FB55224" w:rsidR="00484431" w:rsidRDefault="00893010" w:rsidP="005F7B50">
      <w:pPr>
        <w:jc w:val="both"/>
        <w:rPr>
          <w:rFonts w:cstheme="minorHAnsi"/>
          <w:lang w:val="en-US"/>
        </w:rPr>
      </w:pPr>
      <w:r w:rsidRPr="00B42B08">
        <w:rPr>
          <w:rFonts w:cstheme="minorHAnsi"/>
          <w:b/>
          <w:bCs/>
          <w:lang w:val="en-US"/>
        </w:rPr>
        <w:t>Lack of follow-through and sanction</w:t>
      </w:r>
      <w:r>
        <w:rPr>
          <w:rFonts w:cstheme="minorHAnsi"/>
          <w:b/>
          <w:bCs/>
          <w:lang w:val="en-US"/>
        </w:rPr>
        <w:t>s</w:t>
      </w:r>
      <w:r w:rsidRPr="00B42B08">
        <w:rPr>
          <w:rFonts w:cstheme="minorHAnsi"/>
          <w:b/>
          <w:bCs/>
          <w:lang w:val="en-US"/>
        </w:rPr>
        <w:t xml:space="preserve"> by oversight bodies.</w:t>
      </w:r>
      <w:r>
        <w:rPr>
          <w:rFonts w:cstheme="minorHAnsi"/>
          <w:lang w:val="en-US"/>
        </w:rPr>
        <w:t xml:space="preserve">  </w:t>
      </w:r>
      <w:r w:rsidR="007F5208" w:rsidRPr="007F5208">
        <w:rPr>
          <w:rFonts w:cstheme="minorHAnsi"/>
          <w:lang w:val="en-US"/>
        </w:rPr>
        <w:t>Even when the parliamentary committees undertake reviews and offer recommendations, there is an oversight gap in ensuring the implementation of these recommendations. There are also no penalties imposed to guarantee compliance with the recommendations.</w:t>
      </w:r>
      <w:r>
        <w:rPr>
          <w:rFonts w:cstheme="minorHAnsi"/>
          <w:lang w:val="en-US"/>
        </w:rPr>
        <w:t xml:space="preserve">  Moreover, there is no easy way to track or monitor recommendations, meaning that over time they are forgotten by the public and the oversight agencies.</w:t>
      </w:r>
    </w:p>
    <w:p w14:paraId="301297B1" w14:textId="21461FC9" w:rsidR="00DF2EBF" w:rsidRDefault="00E4053A" w:rsidP="005F7B50">
      <w:pPr>
        <w:jc w:val="both"/>
        <w:rPr>
          <w:rFonts w:cstheme="minorHAnsi"/>
          <w:lang w:val="en-US"/>
        </w:rPr>
      </w:pPr>
      <w:r w:rsidRPr="00B42B08">
        <w:rPr>
          <w:rFonts w:cstheme="minorHAnsi"/>
          <w:b/>
          <w:bCs/>
          <w:lang w:val="en-US"/>
        </w:rPr>
        <w:t>Accountability for macro-economic policy and budgeting is complex, and citizens lack a clear understanding of the key choices involved</w:t>
      </w:r>
      <w:r>
        <w:rPr>
          <w:rFonts w:cstheme="minorHAnsi"/>
          <w:lang w:val="en-US"/>
        </w:rPr>
        <w:t xml:space="preserve">.  </w:t>
      </w:r>
      <w:r w:rsidR="00E96D7A">
        <w:rPr>
          <w:rFonts w:cstheme="minorHAnsi"/>
          <w:lang w:val="en-US"/>
        </w:rPr>
        <w:t>Our theory of change indicates that without</w:t>
      </w:r>
      <w:r>
        <w:rPr>
          <w:rFonts w:cstheme="minorHAnsi"/>
          <w:lang w:val="en-US"/>
        </w:rPr>
        <w:t xml:space="preserve"> public pressure,</w:t>
      </w:r>
      <w:r w:rsidR="00E96D7A">
        <w:rPr>
          <w:rFonts w:cstheme="minorHAnsi"/>
          <w:lang w:val="en-US"/>
        </w:rPr>
        <w:t xml:space="preserve"> even capable</w:t>
      </w:r>
      <w:r>
        <w:rPr>
          <w:rFonts w:cstheme="minorHAnsi"/>
          <w:lang w:val="en-US"/>
        </w:rPr>
        <w:t xml:space="preserve"> governments</w:t>
      </w:r>
      <w:r w:rsidR="00E96D7A">
        <w:rPr>
          <w:rFonts w:cstheme="minorHAnsi"/>
          <w:lang w:val="en-US"/>
        </w:rPr>
        <w:t xml:space="preserve"> may be</w:t>
      </w:r>
      <w:r>
        <w:rPr>
          <w:rFonts w:cstheme="minorHAnsi"/>
          <w:lang w:val="en-US"/>
        </w:rPr>
        <w:t xml:space="preserve"> slow to act and </w:t>
      </w:r>
      <w:r w:rsidR="00E96D7A">
        <w:rPr>
          <w:rFonts w:cstheme="minorHAnsi"/>
          <w:lang w:val="en-US"/>
        </w:rPr>
        <w:t xml:space="preserve">unaccountable for those actions.  </w:t>
      </w:r>
      <w:proofErr w:type="gramStart"/>
      <w:r w:rsidR="00E96D7A">
        <w:rPr>
          <w:rFonts w:cstheme="minorHAnsi"/>
          <w:lang w:val="en-US"/>
        </w:rPr>
        <w:t>In order for</w:t>
      </w:r>
      <w:proofErr w:type="gramEnd"/>
      <w:r w:rsidR="00E96D7A">
        <w:rPr>
          <w:rFonts w:cstheme="minorHAnsi"/>
          <w:lang w:val="en-US"/>
        </w:rPr>
        <w:t xml:space="preserve"> governments to come under pressure from citizens, however, the public needs to be able to understand technical debates about economic and fiscal choices.  Without credible, non-partisan analysis in accessible formats, public debate is impossible. </w:t>
      </w:r>
    </w:p>
    <w:bookmarkEnd w:id="7"/>
    <w:p w14:paraId="009EDB09" w14:textId="77777777" w:rsidR="00E96D7A" w:rsidRDefault="00E96D7A" w:rsidP="005F7B50">
      <w:pPr>
        <w:jc w:val="both"/>
        <w:rPr>
          <w:rFonts w:cstheme="minorHAnsi"/>
          <w:lang w:val="en-US"/>
        </w:rPr>
      </w:pPr>
    </w:p>
    <w:p w14:paraId="2B805509" w14:textId="2654963D" w:rsidR="00DF2EBF" w:rsidRPr="00B42B08" w:rsidRDefault="00DF2EBF" w:rsidP="005F7B50">
      <w:pPr>
        <w:jc w:val="both"/>
        <w:rPr>
          <w:rFonts w:cstheme="minorHAnsi"/>
          <w:i/>
          <w:iCs/>
          <w:lang w:val="en-US"/>
        </w:rPr>
      </w:pPr>
      <w:r w:rsidRPr="00B42B08">
        <w:rPr>
          <w:rFonts w:cstheme="minorHAnsi"/>
          <w:i/>
          <w:iCs/>
          <w:lang w:val="en-US"/>
        </w:rPr>
        <w:t>What can we do about it?</w:t>
      </w:r>
    </w:p>
    <w:p w14:paraId="1F7240C8" w14:textId="77777777" w:rsidR="009777B7" w:rsidRPr="00C241C1" w:rsidRDefault="009777B7" w:rsidP="005F7B50">
      <w:pPr>
        <w:pStyle w:val="ListParagraph"/>
        <w:numPr>
          <w:ilvl w:val="0"/>
          <w:numId w:val="5"/>
        </w:numPr>
        <w:spacing w:line="240" w:lineRule="auto"/>
        <w:jc w:val="both"/>
        <w:rPr>
          <w:rFonts w:cstheme="minorHAnsi"/>
        </w:rPr>
      </w:pPr>
      <w:r w:rsidRPr="00B42B08">
        <w:rPr>
          <w:rFonts w:cstheme="minorHAnsi"/>
          <w:b/>
          <w:bCs/>
        </w:rPr>
        <w:t>Develop a tracking tool for the recommendations made by different oversight institutions</w:t>
      </w:r>
      <w:r w:rsidRPr="0077044A">
        <w:rPr>
          <w:rFonts w:cstheme="minorHAnsi"/>
        </w:rPr>
        <w:t xml:space="preserve">. This tool can then be used by parliament and its committees, as well as other CSOs, </w:t>
      </w:r>
      <w:r w:rsidRPr="00C241C1">
        <w:rPr>
          <w:rFonts w:cstheme="minorHAnsi"/>
        </w:rPr>
        <w:t xml:space="preserve">to ensure that recommendations </w:t>
      </w:r>
      <w:r w:rsidRPr="0077044A">
        <w:rPr>
          <w:rFonts w:cstheme="minorHAnsi"/>
        </w:rPr>
        <w:t xml:space="preserve">made </w:t>
      </w:r>
      <w:r w:rsidRPr="00C241C1">
        <w:rPr>
          <w:rFonts w:cstheme="minorHAnsi"/>
        </w:rPr>
        <w:t>are taken up and acted upon by the relevant actors.</w:t>
      </w:r>
    </w:p>
    <w:p w14:paraId="5194FC3D" w14:textId="2D2524B3" w:rsidR="00DF2EBF" w:rsidRDefault="00893010" w:rsidP="005F7B50">
      <w:pPr>
        <w:pStyle w:val="ListParagraph"/>
        <w:numPr>
          <w:ilvl w:val="0"/>
          <w:numId w:val="5"/>
        </w:numPr>
        <w:spacing w:line="240" w:lineRule="auto"/>
        <w:jc w:val="both"/>
        <w:rPr>
          <w:rFonts w:cstheme="minorHAnsi"/>
        </w:rPr>
      </w:pPr>
      <w:r w:rsidRPr="00B42B08">
        <w:rPr>
          <w:rFonts w:cstheme="minorHAnsi"/>
          <w:b/>
          <w:bCs/>
        </w:rPr>
        <w:t>O</w:t>
      </w:r>
      <w:r w:rsidR="009777B7" w:rsidRPr="00B42B08">
        <w:rPr>
          <w:rFonts w:cstheme="minorHAnsi"/>
          <w:b/>
          <w:bCs/>
        </w:rPr>
        <w:t>ffer training</w:t>
      </w:r>
      <w:r w:rsidRPr="00B42B08">
        <w:rPr>
          <w:rFonts w:cstheme="minorHAnsi"/>
          <w:b/>
          <w:bCs/>
        </w:rPr>
        <w:t xml:space="preserve"> to legislators</w:t>
      </w:r>
      <w:r w:rsidR="009777B7" w:rsidRPr="00B42B08">
        <w:rPr>
          <w:rFonts w:cstheme="minorHAnsi"/>
          <w:b/>
          <w:bCs/>
        </w:rPr>
        <w:t xml:space="preserve"> on the technical aspects </w:t>
      </w:r>
      <w:r w:rsidRPr="00B42B08">
        <w:rPr>
          <w:rFonts w:cstheme="minorHAnsi"/>
          <w:b/>
          <w:bCs/>
        </w:rPr>
        <w:t>of</w:t>
      </w:r>
      <w:r w:rsidR="009777B7" w:rsidRPr="00B42B08">
        <w:rPr>
          <w:rFonts w:cstheme="minorHAnsi"/>
          <w:b/>
          <w:bCs/>
        </w:rPr>
        <w:t xml:space="preserve"> public debt analysis and debt sustainability</w:t>
      </w:r>
      <w:r w:rsidR="009777B7" w:rsidRPr="0077044A">
        <w:rPr>
          <w:rFonts w:cstheme="minorHAnsi"/>
        </w:rPr>
        <w:t>.</w:t>
      </w:r>
      <w:r>
        <w:rPr>
          <w:rFonts w:cstheme="minorHAnsi"/>
        </w:rPr>
        <w:t xml:space="preserve">  Working with other institutions, such as the Parliamentary Budget Office, the clerks in the county assemblies, and other civic actors that target the legislature, we can fill capacity gaps over time in the institutional knowledge of these bodies.</w:t>
      </w:r>
    </w:p>
    <w:p w14:paraId="28F8A525" w14:textId="377FDEC2" w:rsidR="009777B7" w:rsidRDefault="00A22752" w:rsidP="005F7B50">
      <w:pPr>
        <w:pStyle w:val="ListParagraph"/>
        <w:numPr>
          <w:ilvl w:val="0"/>
          <w:numId w:val="5"/>
        </w:numPr>
        <w:spacing w:line="240" w:lineRule="auto"/>
        <w:jc w:val="both"/>
        <w:rPr>
          <w:rFonts w:cstheme="minorHAnsi"/>
        </w:rPr>
      </w:pPr>
      <w:r w:rsidRPr="00B42B08">
        <w:rPr>
          <w:rFonts w:cstheme="minorHAnsi"/>
          <w:b/>
          <w:bCs/>
        </w:rPr>
        <w:t>Promote joints audits between the office of the auditor general and citizen groups to promote local accountability and strengthen relationship between citizens and the oversight offices as a mechanism for disseminating audit findings.</w:t>
      </w:r>
      <w:r w:rsidRPr="00F6214D">
        <w:rPr>
          <w:rFonts w:cstheme="minorHAnsi"/>
        </w:rPr>
        <w:t xml:space="preserve"> This will build on the OAG’s commitment to improve citizen participation in public audit through the Citizens Accountability Audit Engagement Framework. Through this collaborative engagement, citizens and CSOs can provide information that the OAG may require to audit and report on public resource utilization. With citizen engagement throughout the audit process, it is easy to then identify ways in which to simplify the technical reports and make them easily readable by other citizens</w:t>
      </w:r>
      <w:r>
        <w:rPr>
          <w:rFonts w:cstheme="minorHAnsi"/>
        </w:rPr>
        <w:t>. The knowledge that there is active citizen participation in the audit process may incentivize public officials to act prudently as they are aware that their actions are under scrutiny by a well informed and engaged citizenry.</w:t>
      </w:r>
    </w:p>
    <w:p w14:paraId="4B04FA06" w14:textId="24EBC49F" w:rsidR="00E96D7A" w:rsidRPr="00A22752" w:rsidRDefault="00E96D7A" w:rsidP="005F7B50">
      <w:pPr>
        <w:pStyle w:val="ListParagraph"/>
        <w:numPr>
          <w:ilvl w:val="0"/>
          <w:numId w:val="5"/>
        </w:numPr>
        <w:spacing w:line="240" w:lineRule="auto"/>
        <w:jc w:val="both"/>
        <w:rPr>
          <w:rFonts w:cstheme="minorHAnsi"/>
        </w:rPr>
      </w:pPr>
      <w:r w:rsidRPr="00E96D7A">
        <w:rPr>
          <w:rFonts w:cstheme="minorHAnsi"/>
          <w:b/>
          <w:bCs/>
        </w:rPr>
        <w:t>Continue to carry out our semi-</w:t>
      </w:r>
      <w:r w:rsidRPr="00B42B08">
        <w:rPr>
          <w:rFonts w:cstheme="minorHAnsi"/>
          <w:b/>
          <w:bCs/>
        </w:rPr>
        <w:t>annual Macro-Fiscal Analytic Snapshot</w:t>
      </w:r>
      <w:r>
        <w:rPr>
          <w:rFonts w:cstheme="minorHAnsi"/>
          <w:b/>
          <w:bCs/>
        </w:rPr>
        <w:t xml:space="preserve"> (MFAS)</w:t>
      </w:r>
      <w:r w:rsidRPr="00B42B08">
        <w:rPr>
          <w:rFonts w:cstheme="minorHAnsi"/>
          <w:b/>
          <w:bCs/>
        </w:rPr>
        <w:t xml:space="preserve"> and </w:t>
      </w:r>
      <w:proofErr w:type="gramStart"/>
      <w:r w:rsidRPr="00B42B08">
        <w:rPr>
          <w:rFonts w:cstheme="minorHAnsi"/>
          <w:b/>
          <w:bCs/>
        </w:rPr>
        <w:t>updates, and</w:t>
      </w:r>
      <w:proofErr w:type="gramEnd"/>
      <w:r w:rsidRPr="00B42B08">
        <w:rPr>
          <w:rFonts w:cstheme="minorHAnsi"/>
          <w:b/>
          <w:bCs/>
        </w:rPr>
        <w:t xml:space="preserve"> expand them to take on a wider range of topical macro-economic issues</w:t>
      </w:r>
      <w:r>
        <w:rPr>
          <w:rFonts w:cstheme="minorHAnsi"/>
        </w:rPr>
        <w:t xml:space="preserve">.  Our MFAS product has become an important discussion piece each year, an opportunity for broader public debate on the big challenges facing government economic policy.  We aim to take this product further by incorporating more thematic </w:t>
      </w:r>
      <w:proofErr w:type="gramStart"/>
      <w:r>
        <w:rPr>
          <w:rFonts w:cstheme="minorHAnsi"/>
        </w:rPr>
        <w:t>areas, and</w:t>
      </w:r>
      <w:proofErr w:type="gramEnd"/>
      <w:r>
        <w:rPr>
          <w:rFonts w:cstheme="minorHAnsi"/>
        </w:rPr>
        <w:t xml:space="preserve"> strengthening our communications and advocacy approach after publication.</w:t>
      </w:r>
    </w:p>
    <w:p w14:paraId="7D6E30BE" w14:textId="357908B0" w:rsidR="00773289" w:rsidRDefault="00773289" w:rsidP="005F7B50">
      <w:pPr>
        <w:jc w:val="both"/>
        <w:rPr>
          <w:b/>
          <w:bCs/>
          <w:lang w:val="en-US"/>
        </w:rPr>
      </w:pPr>
    </w:p>
    <w:p w14:paraId="7FED9178" w14:textId="59960857" w:rsidR="008B5C6E" w:rsidRDefault="008B5C6E" w:rsidP="005F7B50">
      <w:pPr>
        <w:pStyle w:val="Heading1"/>
        <w:numPr>
          <w:ilvl w:val="0"/>
          <w:numId w:val="1"/>
        </w:numPr>
        <w:jc w:val="both"/>
        <w:rPr>
          <w:lang w:val="en-US"/>
        </w:rPr>
      </w:pPr>
      <w:bookmarkStart w:id="13" w:name="_Toc149824904"/>
      <w:r>
        <w:rPr>
          <w:lang w:val="en-US"/>
        </w:rPr>
        <w:t>Thematic Focus Areas</w:t>
      </w:r>
      <w:bookmarkEnd w:id="13"/>
    </w:p>
    <w:p w14:paraId="5CEBD198" w14:textId="77777777" w:rsidR="008B5C6E" w:rsidRDefault="008B5C6E" w:rsidP="005F7B50">
      <w:pPr>
        <w:jc w:val="both"/>
        <w:rPr>
          <w:lang w:val="en-US"/>
        </w:rPr>
      </w:pPr>
    </w:p>
    <w:p w14:paraId="418542A7" w14:textId="4CF972F1" w:rsidR="008B5C6E" w:rsidRDefault="008B5C6E" w:rsidP="005F7B50">
      <w:pPr>
        <w:jc w:val="both"/>
        <w:rPr>
          <w:lang w:val="en-US"/>
        </w:rPr>
      </w:pPr>
      <w:r>
        <w:rPr>
          <w:lang w:val="en-US"/>
        </w:rPr>
        <w:t xml:space="preserve">Our approach is cross-cutting, as issues like transparency, equity and effectiveness of budgets are as relevant in health as they are in transport.  Nevertheless, there is value in also limiting our thematic focus to build competencies over time and avoid spreading the organization too thin, particularly in our research work.  </w:t>
      </w:r>
    </w:p>
    <w:p w14:paraId="6AB606EA" w14:textId="47E34A88" w:rsidR="008B5C6E" w:rsidRDefault="008B5C6E" w:rsidP="005F7B50">
      <w:pPr>
        <w:jc w:val="both"/>
        <w:rPr>
          <w:lang w:val="en-US"/>
        </w:rPr>
      </w:pPr>
      <w:r>
        <w:rPr>
          <w:lang w:val="en-US"/>
        </w:rPr>
        <w:t xml:space="preserve">For this reason, we have identified the following areas as our focus </w:t>
      </w:r>
      <w:r w:rsidR="00E268B4">
        <w:rPr>
          <w:lang w:val="en-US"/>
        </w:rPr>
        <w:t xml:space="preserve">thematic </w:t>
      </w:r>
      <w:r>
        <w:rPr>
          <w:lang w:val="en-US"/>
        </w:rPr>
        <w:t>areas:</w:t>
      </w:r>
    </w:p>
    <w:p w14:paraId="60968D8E" w14:textId="3C56BF2D" w:rsidR="008B5C6E" w:rsidRDefault="003B6033" w:rsidP="005F7B50">
      <w:pPr>
        <w:pStyle w:val="ListParagraph"/>
        <w:numPr>
          <w:ilvl w:val="0"/>
          <w:numId w:val="4"/>
        </w:numPr>
        <w:jc w:val="both"/>
        <w:rPr>
          <w:lang w:val="en-US"/>
        </w:rPr>
      </w:pPr>
      <w:r>
        <w:rPr>
          <w:lang w:val="en-US"/>
        </w:rPr>
        <w:t>Climate Financing</w:t>
      </w:r>
    </w:p>
    <w:p w14:paraId="0B72709F" w14:textId="2441F8CF" w:rsidR="008B5C6E" w:rsidRDefault="008B5C6E" w:rsidP="005F7B50">
      <w:pPr>
        <w:pStyle w:val="ListParagraph"/>
        <w:numPr>
          <w:ilvl w:val="0"/>
          <w:numId w:val="4"/>
        </w:numPr>
        <w:jc w:val="both"/>
        <w:rPr>
          <w:lang w:val="en-US"/>
        </w:rPr>
      </w:pPr>
      <w:r>
        <w:rPr>
          <w:lang w:val="en-US"/>
        </w:rPr>
        <w:t xml:space="preserve">Revenue </w:t>
      </w:r>
      <w:r w:rsidR="003B6033">
        <w:rPr>
          <w:lang w:val="en-US"/>
        </w:rPr>
        <w:t>Policy</w:t>
      </w:r>
    </w:p>
    <w:p w14:paraId="1BB720CD" w14:textId="06F0D7E1" w:rsidR="008B5C6E" w:rsidRDefault="008B5C6E" w:rsidP="005F7B50">
      <w:pPr>
        <w:pStyle w:val="ListParagraph"/>
        <w:numPr>
          <w:ilvl w:val="0"/>
          <w:numId w:val="4"/>
        </w:numPr>
        <w:jc w:val="both"/>
        <w:rPr>
          <w:lang w:val="en-US"/>
        </w:rPr>
      </w:pPr>
      <w:r>
        <w:rPr>
          <w:lang w:val="en-US"/>
        </w:rPr>
        <w:t>Health Financing</w:t>
      </w:r>
    </w:p>
    <w:p w14:paraId="7D733CEF" w14:textId="0BF9200F" w:rsidR="004926E7" w:rsidRPr="004926E7" w:rsidRDefault="003B6033" w:rsidP="005F7B50">
      <w:pPr>
        <w:pStyle w:val="ListParagraph"/>
        <w:numPr>
          <w:ilvl w:val="0"/>
          <w:numId w:val="4"/>
        </w:numPr>
        <w:jc w:val="both"/>
        <w:rPr>
          <w:lang w:val="en-US"/>
        </w:rPr>
      </w:pPr>
      <w:r>
        <w:rPr>
          <w:lang w:val="en-US"/>
        </w:rPr>
        <w:t>Macro-fiscal and Debt Analysis</w:t>
      </w:r>
    </w:p>
    <w:p w14:paraId="3D3E4C75" w14:textId="77777777" w:rsidR="00537C22" w:rsidRDefault="00537C22" w:rsidP="005F7B50">
      <w:pPr>
        <w:pStyle w:val="ListParagraph"/>
        <w:jc w:val="both"/>
        <w:rPr>
          <w:lang w:val="en-US"/>
        </w:rPr>
      </w:pPr>
    </w:p>
    <w:p w14:paraId="2F93BE3B" w14:textId="16A2C263" w:rsidR="00537C22" w:rsidRDefault="003B6033" w:rsidP="005F7B50">
      <w:pPr>
        <w:pStyle w:val="ListParagraph"/>
        <w:jc w:val="both"/>
        <w:rPr>
          <w:lang w:val="en-US"/>
        </w:rPr>
      </w:pPr>
      <w:r>
        <w:rPr>
          <w:lang w:val="en-US"/>
        </w:rPr>
        <w:t>Climate Financing</w:t>
      </w:r>
    </w:p>
    <w:p w14:paraId="0DA93392" w14:textId="2248503A" w:rsidR="004926E7" w:rsidRPr="00951ADE" w:rsidRDefault="004926E7" w:rsidP="005F7B50">
      <w:pPr>
        <w:jc w:val="both"/>
        <w:rPr>
          <w:i/>
          <w:iCs/>
          <w:lang w:val="en-US"/>
        </w:rPr>
      </w:pPr>
      <w:r w:rsidRPr="00951ADE">
        <w:rPr>
          <w:i/>
          <w:iCs/>
          <w:lang w:val="en-US"/>
        </w:rPr>
        <w:t>Why are we focusing on this area?</w:t>
      </w:r>
    </w:p>
    <w:p w14:paraId="2F2C15F9" w14:textId="77777777" w:rsidR="004926E7" w:rsidRPr="004926E7" w:rsidRDefault="004926E7" w:rsidP="005F7B50">
      <w:pPr>
        <w:jc w:val="both"/>
        <w:rPr>
          <w:lang w:val="en-US"/>
        </w:rPr>
      </w:pPr>
      <w:r w:rsidRPr="004926E7">
        <w:rPr>
          <w:lang w:val="en-US"/>
        </w:rPr>
        <w:t xml:space="preserve">Kenya faces numerous climate-related challenges, such as droughts, floods, and changing agricultural patterns, and addressing these requires dedicated financial and policy support. Recently, the Kenyan government has shown leadership on climate, hosting the Africa Climate Summit 2023, and pledging major action on mitigation and adaptation. These commitments have costs: meeting Kenya’s ambitious updated NDC will require an investment of up to USD 62 Billion over the period running up to 2030.  As the country is poised to raise new funds for climate from both public and private sources, there is a need for civil society organizations to track these funding flows, and assess them from an equity, </w:t>
      </w:r>
      <w:proofErr w:type="gramStart"/>
      <w:r w:rsidRPr="004926E7">
        <w:rPr>
          <w:lang w:val="en-US"/>
        </w:rPr>
        <w:t>efficiency</w:t>
      </w:r>
      <w:proofErr w:type="gramEnd"/>
      <w:r w:rsidRPr="004926E7">
        <w:rPr>
          <w:lang w:val="en-US"/>
        </w:rPr>
        <w:t xml:space="preserve"> and effectiveness perspective.</w:t>
      </w:r>
    </w:p>
    <w:p w14:paraId="4953B232" w14:textId="77777777" w:rsidR="004926E7" w:rsidRPr="004926E7" w:rsidRDefault="004926E7" w:rsidP="005F7B50">
      <w:pPr>
        <w:jc w:val="both"/>
        <w:rPr>
          <w:lang w:val="en-US"/>
        </w:rPr>
      </w:pPr>
      <w:r w:rsidRPr="004926E7">
        <w:rPr>
          <w:lang w:val="en-US"/>
        </w:rPr>
        <w:t xml:space="preserve">At the same time, there is a need for heightened advocacy around climate because the most salient fact about climate commitments at both the global and national level is that they are often not implemented.  In Kenya, the National Climate Change Action Plan has lapsed (2022) and has not been replaced by a new five-year plan.  Although legislation was introduced to create a Climate Change Fund over five years ago, the fund does not appear to exist and climate expenditures remain fragmented across the budget, making it hard to identify and track.  A significant share of climate funding passes through SAGAs, but, like all SAGA funding, remains largely opaque.  A new section in IFMIS was introduced, Section 8, which is supposed to allow for climate tagging of expenditures, but it is not being used.  </w:t>
      </w:r>
    </w:p>
    <w:p w14:paraId="2AE7FF9B" w14:textId="77777777" w:rsidR="004926E7" w:rsidRPr="004926E7" w:rsidRDefault="004926E7" w:rsidP="005F7B50">
      <w:pPr>
        <w:jc w:val="both"/>
        <w:rPr>
          <w:lang w:val="en-US"/>
        </w:rPr>
      </w:pPr>
    </w:p>
    <w:p w14:paraId="2145B62D" w14:textId="07AC043C" w:rsidR="004926E7" w:rsidRPr="00951ADE" w:rsidRDefault="004926E7" w:rsidP="005F7B50">
      <w:pPr>
        <w:jc w:val="both"/>
        <w:rPr>
          <w:i/>
          <w:iCs/>
          <w:lang w:val="en-US"/>
        </w:rPr>
      </w:pPr>
      <w:r w:rsidRPr="00951ADE">
        <w:rPr>
          <w:i/>
          <w:iCs/>
          <w:lang w:val="en-US"/>
        </w:rPr>
        <w:t>What aspects of Climate Financing are we focusing on?</w:t>
      </w:r>
    </w:p>
    <w:p w14:paraId="2B8C04A3" w14:textId="77777777" w:rsidR="004926E7" w:rsidRDefault="004926E7" w:rsidP="005F7B50">
      <w:pPr>
        <w:jc w:val="both"/>
        <w:rPr>
          <w:lang w:val="en-US"/>
        </w:rPr>
      </w:pPr>
      <w:r w:rsidRPr="004926E7">
        <w:rPr>
          <w:lang w:val="en-US"/>
        </w:rPr>
        <w:t>While there is a lot of discussion happening about climate change, very few organizations in Kenya are working on climate finance.  We propose to fill this gap by focusing on the following areas:</w:t>
      </w:r>
    </w:p>
    <w:p w14:paraId="6FB8479C" w14:textId="77777777" w:rsidR="004926E7" w:rsidRDefault="004926E7" w:rsidP="005F7B50">
      <w:pPr>
        <w:pStyle w:val="ListParagraph"/>
        <w:numPr>
          <w:ilvl w:val="0"/>
          <w:numId w:val="9"/>
        </w:numPr>
        <w:jc w:val="both"/>
        <w:rPr>
          <w:lang w:val="en-US"/>
        </w:rPr>
      </w:pPr>
      <w:r w:rsidRPr="004926E7">
        <w:rPr>
          <w:lang w:val="en-US"/>
        </w:rPr>
        <w:t>Carry out consistent research on the allocation and actual expenditure of climate funds in the country.</w:t>
      </w:r>
    </w:p>
    <w:p w14:paraId="315D0160" w14:textId="77777777" w:rsidR="004926E7" w:rsidRDefault="004926E7" w:rsidP="005F7B50">
      <w:pPr>
        <w:pStyle w:val="ListParagraph"/>
        <w:numPr>
          <w:ilvl w:val="0"/>
          <w:numId w:val="9"/>
        </w:numPr>
        <w:jc w:val="both"/>
        <w:rPr>
          <w:lang w:val="en-US"/>
        </w:rPr>
      </w:pPr>
      <w:r w:rsidRPr="004926E7">
        <w:rPr>
          <w:lang w:val="en-US"/>
        </w:rPr>
        <w:t>Document current patterns in allocation of funds, including various gaps, such as the failure to set up a climate change fund at national level, or to approve a new NCCAP</w:t>
      </w:r>
      <w:r>
        <w:rPr>
          <w:lang w:val="en-US"/>
        </w:rPr>
        <w:t>.</w:t>
      </w:r>
    </w:p>
    <w:p w14:paraId="78A0CC6D" w14:textId="77777777" w:rsidR="004926E7" w:rsidRDefault="004926E7" w:rsidP="005F7B50">
      <w:pPr>
        <w:pStyle w:val="ListParagraph"/>
        <w:numPr>
          <w:ilvl w:val="0"/>
          <w:numId w:val="9"/>
        </w:numPr>
        <w:jc w:val="both"/>
        <w:rPr>
          <w:lang w:val="en-US"/>
        </w:rPr>
      </w:pPr>
      <w:r w:rsidRPr="004926E7">
        <w:rPr>
          <w:lang w:val="en-US"/>
        </w:rPr>
        <w:t>Advocate for increased transparency of the climate budget, including the budgets of SAGAs in the sector.  This should include regular reporting by GOK on actions taken and expenditures using a climate-tagging system, such as that in IFMIS.</w:t>
      </w:r>
    </w:p>
    <w:p w14:paraId="52090566" w14:textId="2F33FDEA" w:rsidR="004926E7" w:rsidRPr="004926E7" w:rsidRDefault="004926E7" w:rsidP="005F7B50">
      <w:pPr>
        <w:pStyle w:val="ListParagraph"/>
        <w:numPr>
          <w:ilvl w:val="0"/>
          <w:numId w:val="9"/>
        </w:numPr>
        <w:jc w:val="both"/>
        <w:rPr>
          <w:lang w:val="en-US"/>
        </w:rPr>
      </w:pPr>
      <w:r w:rsidRPr="004926E7">
        <w:rPr>
          <w:lang w:val="en-US"/>
        </w:rPr>
        <w:t>Advocate for changes in the focus of climate financing toward greater emphasis on adaptation, less fragmentation and more focus in the sector, and greater accountability for specific, measurable results from climate expenditure.</w:t>
      </w:r>
    </w:p>
    <w:p w14:paraId="3F2108F3" w14:textId="77777777" w:rsidR="004926E7" w:rsidRPr="004926E7" w:rsidRDefault="004926E7" w:rsidP="005F7B50">
      <w:pPr>
        <w:jc w:val="both"/>
        <w:rPr>
          <w:lang w:val="en-US"/>
        </w:rPr>
      </w:pPr>
    </w:p>
    <w:p w14:paraId="71612585" w14:textId="7056D85E" w:rsidR="004926E7" w:rsidRPr="004926E7" w:rsidRDefault="003B6033" w:rsidP="005F7B50">
      <w:pPr>
        <w:ind w:firstLine="360"/>
        <w:jc w:val="both"/>
        <w:rPr>
          <w:lang w:val="en-US"/>
        </w:rPr>
      </w:pPr>
      <w:r>
        <w:rPr>
          <w:lang w:val="en-US"/>
        </w:rPr>
        <w:t>Revenue policy</w:t>
      </w:r>
    </w:p>
    <w:p w14:paraId="36E957F4" w14:textId="1CE560B4" w:rsidR="004926E7" w:rsidRPr="00951ADE" w:rsidRDefault="004926E7" w:rsidP="005F7B50">
      <w:pPr>
        <w:jc w:val="both"/>
        <w:rPr>
          <w:i/>
          <w:iCs/>
          <w:lang w:val="en-US"/>
        </w:rPr>
      </w:pPr>
      <w:r w:rsidRPr="00951ADE">
        <w:rPr>
          <w:i/>
          <w:iCs/>
          <w:lang w:val="en-US"/>
        </w:rPr>
        <w:t>Why are we focusing on this area?</w:t>
      </w:r>
    </w:p>
    <w:p w14:paraId="30DFF034" w14:textId="77777777" w:rsidR="004926E7" w:rsidRPr="004926E7" w:rsidRDefault="004926E7" w:rsidP="005F7B50">
      <w:pPr>
        <w:jc w:val="both"/>
        <w:rPr>
          <w:lang w:val="en-US"/>
        </w:rPr>
      </w:pPr>
      <w:r w:rsidRPr="004926E7">
        <w:rPr>
          <w:lang w:val="en-US"/>
        </w:rPr>
        <w:t>The Institute would like to complement and work in synergy with other institutions in the tax space in advocating for tax reforms with the overall objective of promoting efficiency and equity in taxation. The Constitution of Kenya, 2010 gives County Governments the legislative authority to levy property taxes, but counties face numerous challenges in administering property taxes. These challenges continue to limit the great potential in growing revenues and promoting equity in taxation. The challenges, such as outdated valuation rolls, revenue leakages, inadequate capacity of revenue collectors, among others, highlight possible areas for collaboration between the national government and county governments including building the capacity of counties in property tax administration.</w:t>
      </w:r>
    </w:p>
    <w:p w14:paraId="1A0EB616" w14:textId="77777777" w:rsidR="004926E7" w:rsidRPr="004926E7" w:rsidRDefault="004926E7" w:rsidP="005F7B50">
      <w:pPr>
        <w:jc w:val="both"/>
        <w:rPr>
          <w:lang w:val="en-US"/>
        </w:rPr>
      </w:pPr>
      <w:r w:rsidRPr="004926E7">
        <w:rPr>
          <w:lang w:val="en-US"/>
        </w:rPr>
        <w:t xml:space="preserve">Equally, Kenya’s tax expenditures are aimed at encouraging foreign direct investment and growth of domestic industries through tax holidays, special economic zones, and regional investment incentives. Despite their proliferation, oversight over the use of tax expenditures is inadequate and most importantly evaluation of their effectiveness in achieving their policy goal is largely non-existent. Except for some evaluation by the academia, policy makers have limited information on the effectiveness of tax expenditures. Evaluation of tax expenditures is particularly important for countries across Africa because domestic resource mobilization is a policy priority in the context of reduced fiscal space.  </w:t>
      </w:r>
    </w:p>
    <w:p w14:paraId="416C3080" w14:textId="77777777" w:rsidR="004926E7" w:rsidRPr="004926E7" w:rsidRDefault="004926E7" w:rsidP="005F7B50">
      <w:pPr>
        <w:jc w:val="both"/>
        <w:rPr>
          <w:lang w:val="en-US"/>
        </w:rPr>
      </w:pPr>
      <w:r w:rsidRPr="004926E7">
        <w:rPr>
          <w:lang w:val="en-US"/>
        </w:rPr>
        <w:t>As the global economy undergoes a profound transformation driven by digitalization, it is also imperative to understand and address the unique challenges posed by taxation in the digital realm. As one of the thematic areas in the Tax Policy Unit, research on digital service taxes will analyze emerging trends in taxing the digital economy and provide evidence-based policy recommendations to inform decision-making processes.</w:t>
      </w:r>
    </w:p>
    <w:p w14:paraId="6E8D756A" w14:textId="21FA86C2" w:rsidR="004926E7" w:rsidRPr="004926E7" w:rsidRDefault="004926E7" w:rsidP="005F7B50">
      <w:pPr>
        <w:jc w:val="both"/>
        <w:rPr>
          <w:lang w:val="en-US"/>
        </w:rPr>
      </w:pPr>
      <w:r w:rsidRPr="004926E7">
        <w:rPr>
          <w:lang w:val="en-US"/>
        </w:rPr>
        <w:t xml:space="preserve">Various actors have called for taxation of wealth with a twin objective of increasing revenue collection and to make Kenya’s tax system more progressive. These calls have cited unprecedented growth in private wealth relative to national wealth, even at the height of the COVID-19 pandemic. This is partly attributed to weak administrative capacity. In addition, the political power of the elite frustrates any efforts to tax them. Illicit financial flows to tax havens have also </w:t>
      </w:r>
      <w:r w:rsidR="00AA0207">
        <w:rPr>
          <w:lang w:val="en-US"/>
        </w:rPr>
        <w:t>undermined</w:t>
      </w:r>
      <w:r w:rsidRPr="004926E7">
        <w:rPr>
          <w:lang w:val="en-US"/>
        </w:rPr>
        <w:t xml:space="preserve"> efforts to ensure that the rich bear a tax burden commensurate to their wealth.  More recently, </w:t>
      </w:r>
      <w:r w:rsidR="00AA0207">
        <w:rPr>
          <w:lang w:val="en-US"/>
        </w:rPr>
        <w:t>the government has itself</w:t>
      </w:r>
      <w:r w:rsidRPr="004926E7">
        <w:rPr>
          <w:lang w:val="en-US"/>
        </w:rPr>
        <w:t xml:space="preserve"> </w:t>
      </w:r>
      <w:r w:rsidR="00AA0207">
        <w:rPr>
          <w:lang w:val="en-US"/>
        </w:rPr>
        <w:t>declared its</w:t>
      </w:r>
      <w:r w:rsidRPr="004926E7">
        <w:rPr>
          <w:lang w:val="en-US"/>
        </w:rPr>
        <w:t xml:space="preserve"> intention to tax wealth. </w:t>
      </w:r>
      <w:r w:rsidR="003B6033">
        <w:rPr>
          <w:lang w:val="en-US"/>
        </w:rPr>
        <w:t xml:space="preserve"> However, wealth taxes are often not successful and require careful policy design and advocacy to endure.  </w:t>
      </w:r>
    </w:p>
    <w:p w14:paraId="43DE5852" w14:textId="77777777" w:rsidR="004926E7" w:rsidRPr="004926E7" w:rsidRDefault="004926E7" w:rsidP="005F7B50">
      <w:pPr>
        <w:jc w:val="both"/>
        <w:rPr>
          <w:lang w:val="en-US"/>
        </w:rPr>
      </w:pPr>
    </w:p>
    <w:p w14:paraId="43EF2286" w14:textId="7DDD788F" w:rsidR="004926E7" w:rsidRPr="009079B2" w:rsidRDefault="004926E7" w:rsidP="005F7B50">
      <w:pPr>
        <w:jc w:val="both"/>
        <w:rPr>
          <w:i/>
          <w:iCs/>
          <w:lang w:val="en-US"/>
        </w:rPr>
      </w:pPr>
      <w:r w:rsidRPr="009079B2">
        <w:rPr>
          <w:i/>
          <w:iCs/>
          <w:lang w:val="en-US"/>
        </w:rPr>
        <w:t>What aspects of tax are we focusing on?</w:t>
      </w:r>
    </w:p>
    <w:p w14:paraId="37509D28" w14:textId="77777777" w:rsidR="004926E7" w:rsidRDefault="004926E7" w:rsidP="005F7B50">
      <w:pPr>
        <w:jc w:val="both"/>
        <w:rPr>
          <w:lang w:val="en-US"/>
        </w:rPr>
      </w:pPr>
      <w:r w:rsidRPr="004926E7">
        <w:rPr>
          <w:lang w:val="en-US"/>
        </w:rPr>
        <w:t xml:space="preserve">Our Tax research initiatives are aimed at addressing the pressing need for comprehensive tax reforms for enhanced revenue collection in Kenya. </w:t>
      </w:r>
    </w:p>
    <w:p w14:paraId="04446BDF" w14:textId="77777777" w:rsidR="004926E7" w:rsidRDefault="004926E7" w:rsidP="005F7B50">
      <w:pPr>
        <w:pStyle w:val="ListParagraph"/>
        <w:numPr>
          <w:ilvl w:val="0"/>
          <w:numId w:val="8"/>
        </w:numPr>
        <w:jc w:val="both"/>
        <w:rPr>
          <w:lang w:val="en-US"/>
        </w:rPr>
      </w:pPr>
      <w:r w:rsidRPr="004926E7">
        <w:rPr>
          <w:lang w:val="en-US"/>
        </w:rPr>
        <w:t xml:space="preserve">Our research will review case studies of countries that have successfully introduced wealth taxes with a view to identifying good practices. </w:t>
      </w:r>
    </w:p>
    <w:p w14:paraId="464C7B9D" w14:textId="77777777" w:rsidR="004926E7" w:rsidRDefault="004926E7" w:rsidP="005F7B50">
      <w:pPr>
        <w:pStyle w:val="ListParagraph"/>
        <w:numPr>
          <w:ilvl w:val="0"/>
          <w:numId w:val="8"/>
        </w:numPr>
        <w:jc w:val="both"/>
        <w:rPr>
          <w:lang w:val="en-US"/>
        </w:rPr>
      </w:pPr>
      <w:r w:rsidRPr="004926E7">
        <w:rPr>
          <w:lang w:val="en-US"/>
        </w:rPr>
        <w:t xml:space="preserve">In the area of property taxes, we will carry out research to identify improved administration practices that can enhance equity and efficiency in the tax system. </w:t>
      </w:r>
    </w:p>
    <w:p w14:paraId="4338A4AD" w14:textId="77777777" w:rsidR="004926E7" w:rsidRDefault="004926E7" w:rsidP="005F7B50">
      <w:pPr>
        <w:pStyle w:val="ListParagraph"/>
        <w:numPr>
          <w:ilvl w:val="0"/>
          <w:numId w:val="8"/>
        </w:numPr>
        <w:jc w:val="both"/>
        <w:rPr>
          <w:lang w:val="en-US"/>
        </w:rPr>
      </w:pPr>
      <w:r w:rsidRPr="004926E7">
        <w:rPr>
          <w:lang w:val="en-US"/>
        </w:rPr>
        <w:t xml:space="preserve">On tax expenditures, the government in the National Tax Policy and the Medium-Term Revenue Strategy (MTRS) has indicated that it will be reviewing the existing tax incentives with a view to eliminate redundant tax incentives. </w:t>
      </w:r>
      <w:proofErr w:type="gramStart"/>
      <w:r w:rsidRPr="004926E7">
        <w:rPr>
          <w:lang w:val="en-US"/>
        </w:rPr>
        <w:t>In light of</w:t>
      </w:r>
      <w:proofErr w:type="gramEnd"/>
      <w:r w:rsidRPr="004926E7">
        <w:rPr>
          <w:lang w:val="en-US"/>
        </w:rPr>
        <w:t xml:space="preserve"> this, our research will continue to monitor government’s progress in transparency on tax incentives, and will assess their effectiveness, efficiency, and equity.</w:t>
      </w:r>
    </w:p>
    <w:p w14:paraId="0730D087" w14:textId="1BCDDA33" w:rsidR="004926E7" w:rsidRPr="004926E7" w:rsidRDefault="004926E7" w:rsidP="005F7B50">
      <w:pPr>
        <w:pStyle w:val="ListParagraph"/>
        <w:numPr>
          <w:ilvl w:val="0"/>
          <w:numId w:val="8"/>
        </w:numPr>
        <w:jc w:val="both"/>
        <w:rPr>
          <w:lang w:val="en-US"/>
        </w:rPr>
      </w:pPr>
      <w:r w:rsidRPr="004926E7">
        <w:rPr>
          <w:lang w:val="en-US"/>
        </w:rPr>
        <w:t xml:space="preserve">Finally, we explore the implications of Digital Service Tax (DST) implementation, investigating the legal and regulatory aspects of DST, examining different design options for digital service taxes, and assessing their effects on traditional concepts of tax jurisdiction. </w:t>
      </w:r>
    </w:p>
    <w:p w14:paraId="614C1D60" w14:textId="77777777" w:rsidR="00512A63" w:rsidRDefault="00512A63" w:rsidP="005F7B50">
      <w:pPr>
        <w:jc w:val="both"/>
        <w:rPr>
          <w:lang w:val="en-US"/>
        </w:rPr>
      </w:pPr>
    </w:p>
    <w:p w14:paraId="7CA81C3B" w14:textId="01ABF5AB" w:rsidR="004926E7" w:rsidRPr="004926E7" w:rsidRDefault="003B6033" w:rsidP="005F7B50">
      <w:pPr>
        <w:ind w:firstLine="360"/>
        <w:jc w:val="both"/>
        <w:rPr>
          <w:lang w:val="en-US"/>
        </w:rPr>
      </w:pPr>
      <w:r>
        <w:rPr>
          <w:lang w:val="en-US"/>
        </w:rPr>
        <w:t>Health Finance</w:t>
      </w:r>
    </w:p>
    <w:p w14:paraId="584FFE3D" w14:textId="7908831C" w:rsidR="004926E7" w:rsidRPr="009079B2" w:rsidRDefault="004926E7" w:rsidP="005F7B50">
      <w:pPr>
        <w:jc w:val="both"/>
        <w:rPr>
          <w:i/>
          <w:iCs/>
          <w:lang w:val="en-US"/>
        </w:rPr>
      </w:pPr>
      <w:r w:rsidRPr="009079B2">
        <w:rPr>
          <w:i/>
          <w:iCs/>
          <w:lang w:val="en-US"/>
        </w:rPr>
        <w:t>Why are we focusing on this area?</w:t>
      </w:r>
    </w:p>
    <w:p w14:paraId="0FD95F47" w14:textId="658211A0" w:rsidR="004926E7" w:rsidRPr="004926E7" w:rsidRDefault="004926E7" w:rsidP="005F7B50">
      <w:pPr>
        <w:jc w:val="both"/>
        <w:rPr>
          <w:lang w:val="en-US"/>
        </w:rPr>
      </w:pPr>
      <w:r w:rsidRPr="004926E7">
        <w:rPr>
          <w:lang w:val="en-US"/>
        </w:rPr>
        <w:t>Health is a top government priority. Keny</w:t>
      </w:r>
      <w:r w:rsidR="00512A63">
        <w:rPr>
          <w:lang w:val="en-US"/>
        </w:rPr>
        <w:t>a</w:t>
      </w:r>
      <w:r w:rsidRPr="004926E7">
        <w:rPr>
          <w:lang w:val="en-US"/>
        </w:rPr>
        <w:t xml:space="preserve"> approved a national universal health coverage (UHC) policy in 2020. The policy is based on four objectives, among them reducing financial barriers to healthcare. However, the level of </w:t>
      </w:r>
      <w:r w:rsidR="00512A63">
        <w:rPr>
          <w:lang w:val="en-US"/>
        </w:rPr>
        <w:t>g</w:t>
      </w:r>
      <w:r w:rsidRPr="004926E7">
        <w:rPr>
          <w:lang w:val="en-US"/>
        </w:rPr>
        <w:t>overnment resources allocated to health has not yet resulted in significant progress toward UHC</w:t>
      </w:r>
      <w:r w:rsidR="00512A63">
        <w:rPr>
          <w:lang w:val="en-US"/>
        </w:rPr>
        <w:t>,</w:t>
      </w:r>
      <w:r w:rsidRPr="004926E7">
        <w:rPr>
          <w:lang w:val="en-US"/>
        </w:rPr>
        <w:t xml:space="preserve"> such as </w:t>
      </w:r>
      <w:r w:rsidR="00512A63">
        <w:rPr>
          <w:lang w:val="en-US"/>
        </w:rPr>
        <w:t>a significant</w:t>
      </w:r>
      <w:r w:rsidRPr="004926E7">
        <w:rPr>
          <w:lang w:val="en-US"/>
        </w:rPr>
        <w:t xml:space="preserve"> reduction in out-of-pocket payments.  Several factors explain this, but limited resources and insurance coverage are among the most important.  Health insurance coverage remains very low; according to the Kenya Demographic and Health Survey (KDHS) 2022, one in four Kenyans, has some form of health insurance with the National Hospital Insurance Fund (NHIF) providing over 90% coverage.  </w:t>
      </w:r>
    </w:p>
    <w:p w14:paraId="2128D699" w14:textId="77777777" w:rsidR="004926E7" w:rsidRPr="004926E7" w:rsidRDefault="004926E7" w:rsidP="005F7B50">
      <w:pPr>
        <w:jc w:val="both"/>
        <w:rPr>
          <w:lang w:val="en-US"/>
        </w:rPr>
      </w:pPr>
      <w:r w:rsidRPr="004926E7">
        <w:rPr>
          <w:lang w:val="en-US"/>
        </w:rPr>
        <w:t xml:space="preserve">And domestic government financing for health has remained stagnant at 2% of GDP and 8% of general government expenditure for a decade. This falls below the WHO threshold of at least 5% government health expenditure as a share of GDP required to achieve Universal Health Coverage (UHC), as well as the Abuja declaration of government health spending of at least 15% of general government expenditure. </w:t>
      </w:r>
    </w:p>
    <w:p w14:paraId="36BD8113" w14:textId="745DBC5F" w:rsidR="004926E7" w:rsidRPr="004926E7" w:rsidRDefault="004926E7" w:rsidP="005F7B50">
      <w:pPr>
        <w:jc w:val="both"/>
        <w:rPr>
          <w:lang w:val="en-US"/>
        </w:rPr>
      </w:pPr>
      <w:r w:rsidRPr="004926E7">
        <w:rPr>
          <w:lang w:val="en-US"/>
        </w:rPr>
        <w:t>In October 2023, new laws were passed to address healthcare financing. The Social Health Insurance Act repealed the National Health Insurance Fund Act and established three new funds. These funds are meant to ensure citizens’ access to healthcare at facilities. Additionally, the Facility Improvement Financing Act aims to address the underfunding of public health facilities.</w:t>
      </w:r>
      <w:r w:rsidR="00512A63">
        <w:rPr>
          <w:lang w:val="en-US"/>
        </w:rPr>
        <w:t xml:space="preserve">  Implementing these laws will require analysis and advocacy from outside of government.</w:t>
      </w:r>
    </w:p>
    <w:p w14:paraId="1F0D9969" w14:textId="77777777" w:rsidR="004926E7" w:rsidRPr="004926E7" w:rsidRDefault="004926E7" w:rsidP="005F7B50">
      <w:pPr>
        <w:jc w:val="both"/>
        <w:rPr>
          <w:lang w:val="en-US"/>
        </w:rPr>
      </w:pPr>
    </w:p>
    <w:p w14:paraId="67C30D03" w14:textId="047785D4" w:rsidR="004926E7" w:rsidRPr="009079B2" w:rsidRDefault="004926E7" w:rsidP="005F7B50">
      <w:pPr>
        <w:jc w:val="both"/>
        <w:rPr>
          <w:i/>
          <w:iCs/>
          <w:lang w:val="en-US"/>
        </w:rPr>
      </w:pPr>
      <w:r w:rsidRPr="009079B2">
        <w:rPr>
          <w:i/>
          <w:iCs/>
          <w:lang w:val="en-US"/>
        </w:rPr>
        <w:t>What aspects of Health Financing are we focusing on?</w:t>
      </w:r>
    </w:p>
    <w:p w14:paraId="534A9429" w14:textId="77777777" w:rsidR="004926E7" w:rsidRDefault="004926E7" w:rsidP="005F7B50">
      <w:pPr>
        <w:jc w:val="both"/>
        <w:rPr>
          <w:lang w:val="en-US"/>
        </w:rPr>
      </w:pPr>
      <w:r w:rsidRPr="004926E7">
        <w:rPr>
          <w:lang w:val="en-US"/>
        </w:rPr>
        <w:t xml:space="preserve">Our focus in health financing is on mechanisms to expand the pool of resources available for insurance and service delivery. Our research will examine existing health financing schemes, both public and private, to explore answers to the following questions: </w:t>
      </w:r>
    </w:p>
    <w:p w14:paraId="34BA5341" w14:textId="77777777" w:rsidR="004926E7" w:rsidRDefault="004926E7" w:rsidP="005F7B50">
      <w:pPr>
        <w:pStyle w:val="ListParagraph"/>
        <w:numPr>
          <w:ilvl w:val="0"/>
          <w:numId w:val="7"/>
        </w:numPr>
        <w:jc w:val="both"/>
        <w:rPr>
          <w:lang w:val="en-US"/>
        </w:rPr>
      </w:pPr>
      <w:r w:rsidRPr="004926E7">
        <w:rPr>
          <w:lang w:val="en-US"/>
        </w:rPr>
        <w:t>What are the key barriers to increasing domestic government financing for health in Kenya?</w:t>
      </w:r>
    </w:p>
    <w:p w14:paraId="6D08A16A" w14:textId="50DC767C" w:rsidR="004926E7" w:rsidRPr="004926E7" w:rsidRDefault="004926E7" w:rsidP="005F7B50">
      <w:pPr>
        <w:pStyle w:val="ListParagraph"/>
        <w:numPr>
          <w:ilvl w:val="0"/>
          <w:numId w:val="7"/>
        </w:numPr>
        <w:jc w:val="both"/>
        <w:rPr>
          <w:lang w:val="en-US"/>
        </w:rPr>
      </w:pPr>
      <w:r w:rsidRPr="004926E7">
        <w:rPr>
          <w:lang w:val="en-US"/>
        </w:rPr>
        <w:t xml:space="preserve">How can existing health financing policies and programs be strengthened to improve sustainability, </w:t>
      </w:r>
      <w:proofErr w:type="gramStart"/>
      <w:r w:rsidRPr="004926E7">
        <w:rPr>
          <w:lang w:val="en-US"/>
        </w:rPr>
        <w:t>efficiency</w:t>
      </w:r>
      <w:proofErr w:type="gramEnd"/>
      <w:r w:rsidRPr="004926E7">
        <w:rPr>
          <w:lang w:val="en-US"/>
        </w:rPr>
        <w:t xml:space="preserve"> and equity? </w:t>
      </w:r>
    </w:p>
    <w:p w14:paraId="7F2546D5" w14:textId="77777777" w:rsidR="004926E7" w:rsidRPr="004926E7" w:rsidRDefault="004926E7" w:rsidP="005F7B50">
      <w:pPr>
        <w:jc w:val="both"/>
        <w:rPr>
          <w:lang w:val="en-US"/>
        </w:rPr>
      </w:pPr>
      <w:r w:rsidRPr="004926E7">
        <w:rPr>
          <w:lang w:val="en-US"/>
        </w:rPr>
        <w:t>To promote effective, efficient, and equitable utilization of available resources, our strategy involves conducting budget and expenditure analysis at the national and sub-national levels, including budget allocation, utilization, and efficiency.</w:t>
      </w:r>
    </w:p>
    <w:p w14:paraId="1701909A" w14:textId="60574EC4" w:rsidR="004926E7" w:rsidRPr="004926E7" w:rsidRDefault="004926E7" w:rsidP="005F7B50">
      <w:pPr>
        <w:jc w:val="both"/>
        <w:rPr>
          <w:lang w:val="en-US"/>
        </w:rPr>
      </w:pPr>
      <w:r w:rsidRPr="004926E7">
        <w:rPr>
          <w:lang w:val="en-US"/>
        </w:rPr>
        <w:t>Our research will also look at opportunities for resource mobilization, cost containment, and strategic investments in priority areas such as primary healthcare, disease prevention, and health infrastructure.</w:t>
      </w:r>
    </w:p>
    <w:p w14:paraId="321517DF" w14:textId="6ADC2887" w:rsidR="004926E7" w:rsidRPr="004926E7" w:rsidRDefault="003B6033" w:rsidP="005F7B50">
      <w:pPr>
        <w:ind w:firstLine="720"/>
        <w:jc w:val="both"/>
        <w:rPr>
          <w:lang w:val="en-US"/>
        </w:rPr>
      </w:pPr>
      <w:r>
        <w:rPr>
          <w:lang w:val="en-US"/>
        </w:rPr>
        <w:t>Macro-fiscal and Debt Analysis</w:t>
      </w:r>
    </w:p>
    <w:p w14:paraId="6E419B21" w14:textId="4DEB56DC" w:rsidR="004926E7" w:rsidRPr="009079B2" w:rsidRDefault="004926E7" w:rsidP="005F7B50">
      <w:pPr>
        <w:jc w:val="both"/>
        <w:rPr>
          <w:i/>
          <w:iCs/>
          <w:lang w:val="en-US"/>
        </w:rPr>
      </w:pPr>
      <w:r w:rsidRPr="009079B2">
        <w:rPr>
          <w:i/>
          <w:iCs/>
          <w:lang w:val="en-US"/>
        </w:rPr>
        <w:t>Why are we focusing on this area?</w:t>
      </w:r>
    </w:p>
    <w:p w14:paraId="65E92803" w14:textId="77777777" w:rsidR="004926E7" w:rsidRPr="004926E7" w:rsidRDefault="004926E7" w:rsidP="005F7B50">
      <w:pPr>
        <w:jc w:val="both"/>
        <w:rPr>
          <w:lang w:val="en-US"/>
        </w:rPr>
      </w:pPr>
      <w:r w:rsidRPr="004926E7">
        <w:rPr>
          <w:lang w:val="en-US"/>
        </w:rPr>
        <w:t xml:space="preserve">Like many other middle-income countries, Kenya faces deficits in capital resources to finance its development agenda and fiscal commitments. It is therefore pertinent to explore how this gap can be filled through various alternative tools, such as direct investments, debt, domestic revenue, and climate related investments, among others. Of course, while seeking options for further investment, we must avoid debt traps, and excessively high taxation, while also ensuring that we are tackling climate change. The policy question at hand, therefore, is to map out the ideal mix of options, and to progressively entrench the principles of PFM, that the fiscal decisions should be effective, </w:t>
      </w:r>
      <w:proofErr w:type="gramStart"/>
      <w:r w:rsidRPr="004926E7">
        <w:rPr>
          <w:lang w:val="en-US"/>
        </w:rPr>
        <w:t>efficient</w:t>
      </w:r>
      <w:proofErr w:type="gramEnd"/>
      <w:r w:rsidRPr="004926E7">
        <w:rPr>
          <w:lang w:val="en-US"/>
        </w:rPr>
        <w:t xml:space="preserve"> and equitable, and should uphold transparency, accountability and participation.</w:t>
      </w:r>
    </w:p>
    <w:p w14:paraId="3CB0F200" w14:textId="77777777" w:rsidR="004926E7" w:rsidRPr="004926E7" w:rsidRDefault="004926E7" w:rsidP="005F7B50">
      <w:pPr>
        <w:jc w:val="both"/>
        <w:rPr>
          <w:lang w:val="en-US"/>
        </w:rPr>
      </w:pPr>
    </w:p>
    <w:p w14:paraId="6B40CDF4" w14:textId="7E56BC93" w:rsidR="004926E7" w:rsidRPr="009079B2" w:rsidRDefault="004926E7" w:rsidP="005F7B50">
      <w:pPr>
        <w:jc w:val="both"/>
        <w:rPr>
          <w:i/>
          <w:iCs/>
          <w:lang w:val="en-US"/>
        </w:rPr>
      </w:pPr>
      <w:r w:rsidRPr="009079B2">
        <w:rPr>
          <w:i/>
          <w:iCs/>
          <w:lang w:val="en-US"/>
        </w:rPr>
        <w:t>What aspects of Macro</w:t>
      </w:r>
      <w:r w:rsidR="003B6033">
        <w:rPr>
          <w:i/>
          <w:iCs/>
          <w:lang w:val="en-US"/>
        </w:rPr>
        <w:t>-fiscal</w:t>
      </w:r>
      <w:r w:rsidRPr="00951ADE">
        <w:rPr>
          <w:i/>
          <w:iCs/>
          <w:lang w:val="en-US"/>
        </w:rPr>
        <w:t xml:space="preserve"> &amp; Debt</w:t>
      </w:r>
      <w:r w:rsidR="003B6033">
        <w:rPr>
          <w:i/>
          <w:iCs/>
          <w:lang w:val="en-US"/>
        </w:rPr>
        <w:t xml:space="preserve"> Analysis</w:t>
      </w:r>
      <w:r w:rsidRPr="009079B2">
        <w:rPr>
          <w:i/>
          <w:iCs/>
          <w:lang w:val="en-US"/>
        </w:rPr>
        <w:t xml:space="preserve"> are we focusing on?</w:t>
      </w:r>
    </w:p>
    <w:p w14:paraId="46DEB57B" w14:textId="4484808D" w:rsidR="004926E7" w:rsidRDefault="004926E7" w:rsidP="005F7B50">
      <w:pPr>
        <w:jc w:val="both"/>
        <w:rPr>
          <w:lang w:val="en-US"/>
        </w:rPr>
      </w:pPr>
      <w:r w:rsidRPr="004926E7">
        <w:rPr>
          <w:lang w:val="en-US"/>
        </w:rPr>
        <w:t>In this area, we will:</w:t>
      </w:r>
    </w:p>
    <w:p w14:paraId="01967509" w14:textId="77777777" w:rsidR="004926E7" w:rsidRDefault="004926E7" w:rsidP="005F7B50">
      <w:pPr>
        <w:pStyle w:val="ListParagraph"/>
        <w:numPr>
          <w:ilvl w:val="0"/>
          <w:numId w:val="10"/>
        </w:numPr>
        <w:jc w:val="both"/>
        <w:rPr>
          <w:lang w:val="en-US"/>
        </w:rPr>
      </w:pPr>
      <w:r w:rsidRPr="004926E7">
        <w:rPr>
          <w:lang w:val="en-US"/>
        </w:rPr>
        <w:t>Evaluate the effectiveness of debt management strategies, risk management frameworks, and debt sustainability frameworks adopted by governments</w:t>
      </w:r>
      <w:r>
        <w:rPr>
          <w:lang w:val="en-US"/>
        </w:rPr>
        <w:t>.</w:t>
      </w:r>
    </w:p>
    <w:p w14:paraId="6E85D751" w14:textId="77777777" w:rsidR="004926E7" w:rsidRDefault="004926E7" w:rsidP="005F7B50">
      <w:pPr>
        <w:pStyle w:val="ListParagraph"/>
        <w:numPr>
          <w:ilvl w:val="0"/>
          <w:numId w:val="10"/>
        </w:numPr>
        <w:jc w:val="both"/>
        <w:rPr>
          <w:lang w:val="en-US"/>
        </w:rPr>
      </w:pPr>
      <w:r w:rsidRPr="004926E7">
        <w:rPr>
          <w:lang w:val="en-US"/>
        </w:rPr>
        <w:t>Examine existing practices around debt transparency and accountability, to ensure that debt is used responsibly and at minimum cost.</w:t>
      </w:r>
    </w:p>
    <w:p w14:paraId="178ACFE9" w14:textId="58B1D16A" w:rsidR="004926E7" w:rsidRDefault="004926E7" w:rsidP="005F7B50">
      <w:pPr>
        <w:pStyle w:val="ListParagraph"/>
        <w:numPr>
          <w:ilvl w:val="0"/>
          <w:numId w:val="10"/>
        </w:numPr>
        <w:jc w:val="both"/>
        <w:rPr>
          <w:lang w:val="en-US"/>
        </w:rPr>
      </w:pPr>
      <w:r w:rsidRPr="004926E7">
        <w:rPr>
          <w:lang w:val="en-US"/>
        </w:rPr>
        <w:t>Analy</w:t>
      </w:r>
      <w:r w:rsidR="003B6033">
        <w:rPr>
          <w:lang w:val="en-US"/>
        </w:rPr>
        <w:t>ze</w:t>
      </w:r>
      <w:r w:rsidRPr="004926E7">
        <w:rPr>
          <w:lang w:val="en-US"/>
        </w:rPr>
        <w:t xml:space="preserve"> debt alternatives, such as PPPs, foreign direct investment, loan guarantees, grants and so on. </w:t>
      </w:r>
    </w:p>
    <w:p w14:paraId="1BC1C66B" w14:textId="0DEE7317" w:rsidR="004926E7" w:rsidRDefault="004926E7" w:rsidP="005F7B50">
      <w:pPr>
        <w:pStyle w:val="ListParagraph"/>
        <w:numPr>
          <w:ilvl w:val="0"/>
          <w:numId w:val="10"/>
        </w:numPr>
        <w:jc w:val="both"/>
        <w:rPr>
          <w:lang w:val="en-US"/>
        </w:rPr>
      </w:pPr>
      <w:r w:rsidRPr="004926E7">
        <w:rPr>
          <w:lang w:val="en-US"/>
        </w:rPr>
        <w:t>Assess capital investment plans to ensure that the government is investing in high value projects at the lowest cost.</w:t>
      </w:r>
    </w:p>
    <w:p w14:paraId="07A833FB" w14:textId="5E20A934" w:rsidR="004926E7" w:rsidRPr="004926E7" w:rsidRDefault="004926E7" w:rsidP="005F7B50">
      <w:pPr>
        <w:pStyle w:val="ListParagraph"/>
        <w:numPr>
          <w:ilvl w:val="0"/>
          <w:numId w:val="10"/>
        </w:numPr>
        <w:jc w:val="both"/>
        <w:rPr>
          <w:lang w:val="en-US"/>
        </w:rPr>
      </w:pPr>
      <w:r w:rsidRPr="004926E7">
        <w:rPr>
          <w:lang w:val="en-US"/>
        </w:rPr>
        <w:t>Analy</w:t>
      </w:r>
      <w:r w:rsidR="003B6033">
        <w:rPr>
          <w:lang w:val="en-US"/>
        </w:rPr>
        <w:t>ze</w:t>
      </w:r>
      <w:r w:rsidRPr="004926E7">
        <w:rPr>
          <w:lang w:val="en-US"/>
        </w:rPr>
        <w:t xml:space="preserve"> how Kenya can enhance exports and diversify the economy to reduce exchange rate risk and the external debt burden.</w:t>
      </w:r>
    </w:p>
    <w:p w14:paraId="52CF59A3" w14:textId="77777777" w:rsidR="00537C22" w:rsidRPr="008B5C6E" w:rsidRDefault="00537C22" w:rsidP="005F7B50">
      <w:pPr>
        <w:pStyle w:val="ListParagraph"/>
        <w:jc w:val="both"/>
        <w:rPr>
          <w:lang w:val="en-US"/>
        </w:rPr>
      </w:pPr>
    </w:p>
    <w:p w14:paraId="4E4A3247" w14:textId="40FE897F" w:rsidR="00B600BC" w:rsidRDefault="00B600BC" w:rsidP="005F7B50">
      <w:pPr>
        <w:pStyle w:val="Heading1"/>
        <w:numPr>
          <w:ilvl w:val="0"/>
          <w:numId w:val="1"/>
        </w:numPr>
        <w:jc w:val="both"/>
        <w:rPr>
          <w:lang w:val="en-US"/>
        </w:rPr>
      </w:pPr>
      <w:bookmarkStart w:id="14" w:name="_Toc149824905"/>
      <w:bookmarkStart w:id="15" w:name="_Toc149824906"/>
      <w:bookmarkStart w:id="16" w:name="_Toc149824907"/>
      <w:bookmarkStart w:id="17" w:name="_Toc149824908"/>
      <w:bookmarkStart w:id="18" w:name="_Toc149824909"/>
      <w:bookmarkStart w:id="19" w:name="_Toc149824910"/>
      <w:bookmarkStart w:id="20" w:name="_Toc149824911"/>
      <w:bookmarkStart w:id="21" w:name="_Toc149824912"/>
      <w:bookmarkStart w:id="22" w:name="_Toc149824913"/>
      <w:bookmarkStart w:id="23" w:name="_Toc149824914"/>
      <w:bookmarkStart w:id="24" w:name="_Toc149824915"/>
      <w:bookmarkStart w:id="25" w:name="_Toc149824916"/>
      <w:bookmarkStart w:id="26" w:name="_Toc149824917"/>
      <w:bookmarkStart w:id="27" w:name="_Toc149824918"/>
      <w:bookmarkStart w:id="28" w:name="_Toc149824919"/>
      <w:bookmarkStart w:id="29" w:name="_Toc149824920"/>
      <w:bookmarkStart w:id="30" w:name="_Toc149824921"/>
      <w:bookmarkStart w:id="31" w:name="_Toc149824922"/>
      <w:bookmarkStart w:id="32" w:name="_Toc149824923"/>
      <w:bookmarkStart w:id="33" w:name="_Toc149824924"/>
      <w:bookmarkStart w:id="34" w:name="_Toc149824925"/>
      <w:bookmarkStart w:id="35" w:name="_Toc149824926"/>
      <w:bookmarkStart w:id="36" w:name="_Toc149824927"/>
      <w:bookmarkStart w:id="37" w:name="_Toc149824928"/>
      <w:bookmarkStart w:id="38" w:name="_Toc149824929"/>
      <w:bookmarkStart w:id="39" w:name="_Toc149824930"/>
      <w:bookmarkStart w:id="40" w:name="_Toc14982493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lang w:val="en-US"/>
        </w:rPr>
        <w:t>How will we monitor progress?</w:t>
      </w:r>
      <w:bookmarkEnd w:id="40"/>
    </w:p>
    <w:p w14:paraId="6931C9F0" w14:textId="492CF7CE" w:rsidR="008B5C6E" w:rsidRDefault="008B5C6E" w:rsidP="005F7B50">
      <w:pPr>
        <w:pStyle w:val="ListParagraph"/>
        <w:spacing w:before="240"/>
        <w:jc w:val="both"/>
      </w:pPr>
    </w:p>
    <w:p w14:paraId="5395FD8A" w14:textId="20210DB6" w:rsidR="00392C78" w:rsidRDefault="00392C78" w:rsidP="005F7B50">
      <w:pPr>
        <w:pStyle w:val="ListParagraph"/>
        <w:spacing w:before="240"/>
        <w:jc w:val="both"/>
      </w:pPr>
      <w:r>
        <w:t xml:space="preserve">IPF's strategic plan is a roadmap to achieving </w:t>
      </w:r>
      <w:r w:rsidR="000D094D">
        <w:t xml:space="preserve">our organizational </w:t>
      </w:r>
      <w:r>
        <w:t xml:space="preserve">goals and creating meaningful </w:t>
      </w:r>
      <w:r w:rsidR="000D094D">
        <w:t xml:space="preserve">social </w:t>
      </w:r>
      <w:r>
        <w:t>change. To ensure its success, we have developed a comprehensive approach to monitor progress and make data-driven decisions. Our Theory of Change (</w:t>
      </w:r>
      <w:proofErr w:type="spellStart"/>
      <w:r>
        <w:t>ToC</w:t>
      </w:r>
      <w:proofErr w:type="spellEnd"/>
      <w:r>
        <w:t>) serves as our guide, aligning Key Performance Indicators (KPIs) with targets, outcomes, and outputs. The IPF is committed to applying a Result-Based Management (RBM) approach to guarantee effective and efficient delivery of Monitoring, Evaluation, Accountability, and Learning (MEAL) processes throughout the lifespan of this Strategic Plan.</w:t>
      </w:r>
    </w:p>
    <w:p w14:paraId="3C2C7E4F" w14:textId="77777777" w:rsidR="00392C78" w:rsidRDefault="00392C78" w:rsidP="005F7B50">
      <w:pPr>
        <w:pStyle w:val="ListParagraph"/>
        <w:spacing w:before="240"/>
        <w:jc w:val="both"/>
      </w:pPr>
    </w:p>
    <w:p w14:paraId="11F67B1D" w14:textId="4BE6CFCE" w:rsidR="00392C78" w:rsidRDefault="00951ADE" w:rsidP="005F7B50">
      <w:pPr>
        <w:pStyle w:val="ListParagraph"/>
        <w:spacing w:before="240"/>
        <w:jc w:val="both"/>
      </w:pPr>
      <w:r>
        <w:t>The Monitoring and Evaluation Framework</w:t>
      </w:r>
      <w:r w:rsidR="00392C78">
        <w:t xml:space="preserve"> </w:t>
      </w:r>
      <w:r w:rsidR="009D653A">
        <w:t>is s</w:t>
      </w:r>
      <w:r w:rsidR="00392C78">
        <w:t xml:space="preserve"> as a reference</w:t>
      </w:r>
      <w:r w:rsidR="009D653A">
        <w:t xml:space="preserve"> point</w:t>
      </w:r>
      <w:r w:rsidR="00392C78">
        <w:t xml:space="preserve"> for monitoring the performance of the Strategic Plan. All activities are designed to contribute to the achievement of strategic goals and targets. Within this framework, we have defined specific targets for each outcome, output, and activity. These targets serve as the compass for monitoring our progress which borrows from this strategy and the Theory of Change. Each target is associated with a data source that ensures credibility and verifiability, fostering integrity in our monitoring process.</w:t>
      </w:r>
    </w:p>
    <w:p w14:paraId="37DDB5EB" w14:textId="77777777" w:rsidR="00392C78" w:rsidRDefault="00392C78" w:rsidP="005F7B50">
      <w:pPr>
        <w:pStyle w:val="ListParagraph"/>
        <w:spacing w:before="240"/>
        <w:jc w:val="both"/>
      </w:pPr>
    </w:p>
    <w:p w14:paraId="4F98BC8E" w14:textId="77777777" w:rsidR="00392C78" w:rsidRDefault="00392C78" w:rsidP="005F7B50">
      <w:pPr>
        <w:pStyle w:val="ListParagraph"/>
        <w:spacing w:before="240"/>
        <w:jc w:val="both"/>
      </w:pPr>
      <w:r>
        <w:t xml:space="preserve">We take data credibility and integrity seriously. The quality assurance measures include regular data audits, spot checks, project workplans and data validation meetings, ensuring that the data collected is accurate and reliable. This commitment enhances the effectiveness of our monitoring efforts, aligning with our mission of contributing to Kenya’s public finance through research, advocacy and capacity strengthening to the continuous improvement of Kenya’s public finances.  </w:t>
      </w:r>
    </w:p>
    <w:p w14:paraId="318678AA" w14:textId="77777777" w:rsidR="00392C78" w:rsidRDefault="00392C78" w:rsidP="005F7B50">
      <w:pPr>
        <w:pStyle w:val="ListParagraph"/>
        <w:spacing w:before="240"/>
        <w:jc w:val="both"/>
      </w:pPr>
    </w:p>
    <w:p w14:paraId="0ECFECE0" w14:textId="77777777" w:rsidR="00392C78" w:rsidRDefault="00392C78" w:rsidP="005F7B50">
      <w:pPr>
        <w:pStyle w:val="ListParagraph"/>
        <w:spacing w:before="240"/>
        <w:jc w:val="both"/>
      </w:pPr>
      <w:r>
        <w:t>Our monitoring results are not static figures; they are dynamic tools for informed decision-making and adjustments. To support this, we maintain regular review meetings, including quarterly Pause and Reflect sessions and feedback loops. These forums will be used to discuss findings, share best practices, address challenges, and make necessary adjustments to stay on the right track.</w:t>
      </w:r>
    </w:p>
    <w:p w14:paraId="59BEFC0E" w14:textId="77777777" w:rsidR="00392C78" w:rsidRDefault="00392C78" w:rsidP="005F7B50">
      <w:pPr>
        <w:pStyle w:val="ListParagraph"/>
        <w:spacing w:before="240"/>
        <w:jc w:val="both"/>
      </w:pPr>
      <w:r>
        <w:t xml:space="preserve"> </w:t>
      </w:r>
    </w:p>
    <w:p w14:paraId="2378B10A" w14:textId="6FEE1B45" w:rsidR="00392C78" w:rsidRDefault="00392C78" w:rsidP="005F7B50">
      <w:pPr>
        <w:pStyle w:val="ListParagraph"/>
        <w:spacing w:before="240"/>
        <w:jc w:val="both"/>
      </w:pPr>
      <w:r>
        <w:t>Clear roles and responsibilities play a crucial role in our monitoring process. The Monitoring, Evaluation, Accountability, and Learning Function will spearhead the identification of pertinent indicators for monitoring substantial progress. Representatives from the Data &amp; Measurement Function will be responsible for collecting the required data, while the Programmes and Research Functions will periodically report on the milestones for each Key Performance Indicato</w:t>
      </w:r>
      <w:r w:rsidR="00354799">
        <w:t xml:space="preserve">r. </w:t>
      </w:r>
    </w:p>
    <w:p w14:paraId="733DC40F" w14:textId="77777777" w:rsidR="00354799" w:rsidRDefault="00354799" w:rsidP="005F7B50">
      <w:pPr>
        <w:pStyle w:val="ListParagraph"/>
        <w:spacing w:before="240"/>
        <w:jc w:val="both"/>
      </w:pPr>
    </w:p>
    <w:p w14:paraId="682C82E1" w14:textId="77777777" w:rsidR="00392C78" w:rsidRDefault="00392C78" w:rsidP="005F7B50">
      <w:pPr>
        <w:pStyle w:val="ListParagraph"/>
        <w:spacing w:before="240"/>
        <w:jc w:val="both"/>
      </w:pPr>
      <w:r>
        <w:t>Following the execution of each activity, event reports will be compiled on a per-project basis forming part of the monthly reports. These monthly reports, in turn, contribute to the creation of both quarterly and annual reports. Furthermore, we have established standardized tools for data collection and reporting to ensure consistency and accuracy in our monitoring efforts.</w:t>
      </w:r>
    </w:p>
    <w:p w14:paraId="0EA5DF10" w14:textId="77777777" w:rsidR="00392C78" w:rsidRDefault="00392C78" w:rsidP="005F7B50">
      <w:pPr>
        <w:pStyle w:val="ListParagraph"/>
        <w:spacing w:before="240"/>
        <w:jc w:val="both"/>
      </w:pPr>
    </w:p>
    <w:p w14:paraId="14CDAC53" w14:textId="488563BA" w:rsidR="00392C78" w:rsidRDefault="00392C78" w:rsidP="005F7B50">
      <w:pPr>
        <w:pStyle w:val="ListParagraph"/>
        <w:spacing w:before="240"/>
        <w:jc w:val="both"/>
      </w:pPr>
      <w:r>
        <w:t xml:space="preserve">The reports provide a clear snapshot of the outcomes achieved, supported by evidence. The MEAL Function consolidates these reports and shares them with the Head of Programmes for review before presenting them to the Senior Leadership Team. The comprehensive approach to monitoring progress ensures that our Strategic Plan remains on track and adaptable to changing circumstances. </w:t>
      </w:r>
    </w:p>
    <w:p w14:paraId="6A578E9D" w14:textId="77777777" w:rsidR="00392C78" w:rsidRPr="006376CB" w:rsidRDefault="00392C78" w:rsidP="005F7B50">
      <w:pPr>
        <w:pStyle w:val="ListParagraph"/>
        <w:spacing w:before="240"/>
        <w:jc w:val="both"/>
      </w:pPr>
    </w:p>
    <w:p w14:paraId="5ED59886" w14:textId="77777777" w:rsidR="00B600BC" w:rsidRPr="008B5C6E" w:rsidRDefault="00B600BC" w:rsidP="005F7B50">
      <w:pPr>
        <w:pStyle w:val="Heading1"/>
        <w:jc w:val="both"/>
      </w:pPr>
    </w:p>
    <w:p w14:paraId="2BBE2136" w14:textId="3F38AD89" w:rsidR="00B600BC" w:rsidRDefault="00A6023C" w:rsidP="005F7B50">
      <w:pPr>
        <w:pStyle w:val="Heading1"/>
        <w:jc w:val="both"/>
        <w:rPr>
          <w:lang w:val="en-US"/>
        </w:rPr>
      </w:pPr>
      <w:bookmarkStart w:id="41" w:name="_Toc149824932"/>
      <w:r>
        <w:rPr>
          <w:lang w:val="en-US"/>
        </w:rPr>
        <w:t>11.</w:t>
      </w:r>
      <w:r w:rsidR="00B600BC">
        <w:rPr>
          <w:lang w:val="en-US"/>
        </w:rPr>
        <w:t>How will we build IPF internal systems to deliver on this strategy?</w:t>
      </w:r>
      <w:bookmarkEnd w:id="41"/>
    </w:p>
    <w:p w14:paraId="2803193B" w14:textId="2E8F9425" w:rsidR="00A6023C" w:rsidRDefault="00A6023C" w:rsidP="005F7B50">
      <w:pPr>
        <w:pStyle w:val="ListParagraph"/>
        <w:spacing w:before="240"/>
        <w:jc w:val="both"/>
      </w:pPr>
      <w:r w:rsidRPr="00A6023C">
        <w:rPr>
          <w:b/>
        </w:rPr>
        <w:t>Expand research</w:t>
      </w:r>
      <w:r>
        <w:t>:  Increase the organization's capacity and influence to conduct in-depth studies, publishing impactful research papers, and actively engaging with policymakers, academia, and other stakeholders, by (</w:t>
      </w:r>
      <w:proofErr w:type="spellStart"/>
      <w:r>
        <w:t>i</w:t>
      </w:r>
      <w:proofErr w:type="spellEnd"/>
      <w:r>
        <w:t xml:space="preserve">)  engaging sector experts in our thematic focus area for purposes of learning and to boost our </w:t>
      </w:r>
      <w:r w:rsidR="008E4261">
        <w:t xml:space="preserve">expertise </w:t>
      </w:r>
      <w:r>
        <w:t xml:space="preserve">profiles while bidding </w:t>
      </w:r>
      <w:r w:rsidR="006B6738">
        <w:t xml:space="preserve">for work, </w:t>
      </w:r>
      <w:r>
        <w:t xml:space="preserve">(ii) increasing the staff numbers in </w:t>
      </w:r>
      <w:r w:rsidR="006B6738">
        <w:t>our r</w:t>
      </w:r>
      <w:r>
        <w:t xml:space="preserve">esearch department with expertise in specific areas of focus i.e., climate financing, debt and monetary policies </w:t>
      </w:r>
      <w:r w:rsidR="000D094D">
        <w:t xml:space="preserve">and </w:t>
      </w:r>
      <w:r>
        <w:t>(iii)</w:t>
      </w:r>
      <w:r w:rsidR="000D094D">
        <w:t xml:space="preserve"> </w:t>
      </w:r>
      <w:r w:rsidR="00094527">
        <w:t xml:space="preserve">undertaking joint research with universities through institutions such as </w:t>
      </w:r>
      <w:r w:rsidR="000D094D">
        <w:t xml:space="preserve">the </w:t>
      </w:r>
      <w:r w:rsidR="00094527">
        <w:t xml:space="preserve">Institute of </w:t>
      </w:r>
      <w:r w:rsidR="000D094D">
        <w:t>D</w:t>
      </w:r>
      <w:r w:rsidR="00094527">
        <w:t xml:space="preserve">evelopment Studies and writing journal articles on thematic issues.  </w:t>
      </w:r>
    </w:p>
    <w:p w14:paraId="19EBAFA6" w14:textId="77777777" w:rsidR="00A6023C" w:rsidRDefault="00A6023C" w:rsidP="005F7B50">
      <w:pPr>
        <w:pStyle w:val="ListParagraph"/>
        <w:spacing w:before="240"/>
        <w:jc w:val="both"/>
      </w:pPr>
      <w:r w:rsidRPr="00A6023C">
        <w:rPr>
          <w:b/>
        </w:rPr>
        <w:t>Strengthen institutional partnerships</w:t>
      </w:r>
      <w:r>
        <w:t>: Regularly map the partnership landscape, to (</w:t>
      </w:r>
      <w:proofErr w:type="spellStart"/>
      <w:r>
        <w:t>i</w:t>
      </w:r>
      <w:proofErr w:type="spellEnd"/>
      <w:r>
        <w:t>) identify potentially new partners and foster collaborations, and (ii) review existing relationships and determine the desire to continue collaboration or reconsider the partnerships.</w:t>
      </w:r>
    </w:p>
    <w:p w14:paraId="767DFCDA" w14:textId="60B31C88" w:rsidR="00A6023C" w:rsidRDefault="00A6023C" w:rsidP="005F7B50">
      <w:pPr>
        <w:pStyle w:val="ListParagraph"/>
        <w:spacing w:before="240"/>
        <w:jc w:val="both"/>
      </w:pPr>
      <w:r w:rsidRPr="00A6023C">
        <w:rPr>
          <w:b/>
        </w:rPr>
        <w:t>Enhance organizational visibility</w:t>
      </w:r>
      <w:r>
        <w:t xml:space="preserve">: </w:t>
      </w:r>
      <w:r w:rsidR="006B6738">
        <w:t>shift our approach from basic to more strategic communications by building partnerships with media and focusing more heavily on tailoring our products to audience demands; redesign our website and develop a more consistent social media presence;</w:t>
      </w:r>
      <w:r w:rsidR="004F70C6">
        <w:t xml:space="preserve"> documentation of success stories, weekly publication of blogs on our website and social media platforms, documenting success stories and thematic social media campaigns. </w:t>
      </w:r>
    </w:p>
    <w:p w14:paraId="5DE0A67F" w14:textId="0CB77277" w:rsidR="00A6023C" w:rsidRDefault="00A6023C" w:rsidP="005F7B50">
      <w:pPr>
        <w:pStyle w:val="ListParagraph"/>
        <w:spacing w:before="240"/>
        <w:jc w:val="both"/>
      </w:pPr>
      <w:r w:rsidRPr="00A6023C">
        <w:rPr>
          <w:b/>
        </w:rPr>
        <w:t>Strengthening internal communication channels</w:t>
      </w:r>
      <w:r>
        <w:t xml:space="preserve">: Enhance communication flows within the organization by implementing regular staff </w:t>
      </w:r>
      <w:r w:rsidR="006B6738">
        <w:t xml:space="preserve">and </w:t>
      </w:r>
      <w:r>
        <w:t>departmental</w:t>
      </w:r>
      <w:r w:rsidR="006B6738">
        <w:t xml:space="preserve"> meetings</w:t>
      </w:r>
      <w:r>
        <w:t>, creating collaboration platforms, and utilizing digital tools for efficient communication and knowledge sharing.</w:t>
      </w:r>
    </w:p>
    <w:p w14:paraId="50995D7D" w14:textId="3C864927" w:rsidR="00A6023C" w:rsidRDefault="00A6023C" w:rsidP="005F7B50">
      <w:pPr>
        <w:pStyle w:val="ListParagraph"/>
        <w:spacing w:before="240"/>
        <w:jc w:val="both"/>
      </w:pPr>
      <w:r w:rsidRPr="00A6023C">
        <w:rPr>
          <w:b/>
        </w:rPr>
        <w:t>Enhancing leadership and management</w:t>
      </w:r>
      <w:r>
        <w:t xml:space="preserve">: Invest in leadership development programs to empower </w:t>
      </w:r>
      <w:r w:rsidR="006B6738">
        <w:t xml:space="preserve">the next generation of </w:t>
      </w:r>
      <w:r>
        <w:t>managers</w:t>
      </w:r>
      <w:r w:rsidR="006B6738">
        <w:t xml:space="preserve"> from withing</w:t>
      </w:r>
      <w:r>
        <w:t xml:space="preserve"> with the necessary skills and competencies to guide teams effectively, foster innovation, and promote a positive work culture.</w:t>
      </w:r>
    </w:p>
    <w:p w14:paraId="26A4563C" w14:textId="77777777" w:rsidR="00A6023C" w:rsidRDefault="00A6023C" w:rsidP="005F7B50">
      <w:pPr>
        <w:pStyle w:val="ListParagraph"/>
        <w:spacing w:before="240"/>
        <w:jc w:val="both"/>
      </w:pPr>
      <w:r w:rsidRPr="00A6023C">
        <w:rPr>
          <w:b/>
        </w:rPr>
        <w:t>Improving staff engagement</w:t>
      </w:r>
      <w:r>
        <w:t xml:space="preserve">: Foster a supportive and inclusive work environment that values employee well-being, recognizes achievements, and encourages professional growth. Implement initiatives such as mentorship programs, performance evaluations, and training opportunities. </w:t>
      </w:r>
    </w:p>
    <w:p w14:paraId="098CFCC3" w14:textId="77777777" w:rsidR="00A6023C" w:rsidRDefault="00A6023C" w:rsidP="005F7B50">
      <w:pPr>
        <w:pStyle w:val="ListParagraph"/>
        <w:spacing w:before="240"/>
        <w:jc w:val="both"/>
      </w:pPr>
      <w:r w:rsidRPr="00A6023C">
        <w:rPr>
          <w:b/>
        </w:rPr>
        <w:t>Streamlining internal processes and structures</w:t>
      </w:r>
      <w:r>
        <w:t>: Continuously review and optimize internal workflows and processes to eliminate redundancies, increase efficiency, and enhance productivity. Implement appropriate project management tools and systems to ensure seamless coordination and effective resource allocation.</w:t>
      </w:r>
    </w:p>
    <w:p w14:paraId="00C98AD4" w14:textId="44118D9A" w:rsidR="00A6023C" w:rsidRDefault="00A6023C" w:rsidP="005F7B50">
      <w:pPr>
        <w:pStyle w:val="ListParagraph"/>
        <w:spacing w:before="240"/>
        <w:jc w:val="both"/>
      </w:pPr>
      <w:r w:rsidRPr="00A6023C">
        <w:rPr>
          <w:b/>
        </w:rPr>
        <w:t>Knowledge management</w:t>
      </w:r>
      <w:r>
        <w:t xml:space="preserve">: </w:t>
      </w:r>
      <w:r w:rsidR="006B6738">
        <w:t>S</w:t>
      </w:r>
      <w:r>
        <w:t>tructur</w:t>
      </w:r>
      <w:r w:rsidR="006B6738">
        <w:t>e</w:t>
      </w:r>
      <w:r>
        <w:t>, retain,</w:t>
      </w:r>
      <w:r w:rsidR="006B6738">
        <w:t xml:space="preserve"> and</w:t>
      </w:r>
      <w:r>
        <w:t xml:space="preserve"> shar</w:t>
      </w:r>
      <w:r w:rsidR="006B6738">
        <w:t>e</w:t>
      </w:r>
      <w:r>
        <w:t xml:space="preserve"> knowledge and experience of employees. </w:t>
      </w:r>
      <w:r w:rsidR="006B6738">
        <w:t>This can be done through</w:t>
      </w:r>
      <w:r>
        <w:t xml:space="preserve"> periodic reflective forums (quarterly), professional mentorship and coaching, systemized brown bags (for cross learning purposes) and identification of funding opportunities.</w:t>
      </w:r>
    </w:p>
    <w:p w14:paraId="2249A48B" w14:textId="77777777" w:rsidR="00B600BC" w:rsidRPr="00A6023C" w:rsidRDefault="00B600BC" w:rsidP="005F7B50">
      <w:pPr>
        <w:pStyle w:val="Heading1"/>
        <w:jc w:val="both"/>
      </w:pPr>
    </w:p>
    <w:p w14:paraId="62082366" w14:textId="77777777" w:rsidR="00B600BC" w:rsidRPr="00B600BC" w:rsidRDefault="00B600BC" w:rsidP="005F7B50">
      <w:pPr>
        <w:jc w:val="both"/>
        <w:rPr>
          <w:lang w:val="en-US"/>
        </w:rPr>
      </w:pPr>
    </w:p>
    <w:p w14:paraId="7AB0C54B" w14:textId="4209D9DB" w:rsidR="00B600BC" w:rsidRDefault="00B600BC" w:rsidP="005F7B50">
      <w:pPr>
        <w:pStyle w:val="Heading1"/>
        <w:numPr>
          <w:ilvl w:val="0"/>
          <w:numId w:val="1"/>
        </w:numPr>
        <w:jc w:val="both"/>
        <w:rPr>
          <w:lang w:val="en-US"/>
        </w:rPr>
      </w:pPr>
      <w:bookmarkStart w:id="42" w:name="_Toc149824933"/>
      <w:r>
        <w:rPr>
          <w:lang w:val="en-US"/>
        </w:rPr>
        <w:t>How will we resource our strategy?</w:t>
      </w:r>
      <w:bookmarkEnd w:id="42"/>
    </w:p>
    <w:p w14:paraId="3090FF9B" w14:textId="77777777" w:rsidR="00B600BC" w:rsidRPr="00B600BC" w:rsidRDefault="00B600BC" w:rsidP="005F7B50">
      <w:pPr>
        <w:pStyle w:val="ListParagraph"/>
        <w:jc w:val="both"/>
        <w:rPr>
          <w:lang w:val="en-US"/>
        </w:rPr>
      </w:pPr>
    </w:p>
    <w:p w14:paraId="349F8960" w14:textId="15BD5BD0" w:rsidR="00246898" w:rsidRDefault="00246898" w:rsidP="005F7B50">
      <w:pPr>
        <w:pStyle w:val="ListParagraph"/>
        <w:jc w:val="both"/>
        <w:rPr>
          <w:lang w:val="en-US"/>
        </w:rPr>
      </w:pPr>
      <w:r>
        <w:rPr>
          <w:lang w:val="en-US"/>
        </w:rPr>
        <w:t xml:space="preserve">Mobilizing resources is fundamental to deliver on our mission.  Resources comprise </w:t>
      </w:r>
      <w:r w:rsidR="00721483">
        <w:rPr>
          <w:lang w:val="en-US"/>
        </w:rPr>
        <w:t>two</w:t>
      </w:r>
      <w:r>
        <w:rPr>
          <w:lang w:val="en-US"/>
        </w:rPr>
        <w:t xml:space="preserve"> areas: funding</w:t>
      </w:r>
      <w:r w:rsidR="00721483">
        <w:rPr>
          <w:lang w:val="en-US"/>
        </w:rPr>
        <w:t xml:space="preserve"> and</w:t>
      </w:r>
      <w:r>
        <w:rPr>
          <w:lang w:val="en-US"/>
        </w:rPr>
        <w:t xml:space="preserve"> human resources</w:t>
      </w:r>
      <w:r w:rsidR="004F70C6">
        <w:rPr>
          <w:lang w:val="en-US"/>
        </w:rPr>
        <w:t>.</w:t>
      </w:r>
    </w:p>
    <w:p w14:paraId="38CECA0A" w14:textId="77777777" w:rsidR="00246898" w:rsidRDefault="00246898" w:rsidP="005F7B50">
      <w:pPr>
        <w:pStyle w:val="ListParagraph"/>
        <w:jc w:val="both"/>
        <w:rPr>
          <w:lang w:val="en-US"/>
        </w:rPr>
      </w:pPr>
    </w:p>
    <w:p w14:paraId="4259E26C" w14:textId="41A20834" w:rsidR="00246898" w:rsidRPr="00B42B08" w:rsidRDefault="00246898" w:rsidP="005F7B50">
      <w:pPr>
        <w:pStyle w:val="ListParagraph"/>
        <w:jc w:val="both"/>
        <w:rPr>
          <w:b/>
          <w:bCs/>
          <w:lang w:val="en-US"/>
        </w:rPr>
      </w:pPr>
      <w:r w:rsidRPr="00B42B08">
        <w:rPr>
          <w:b/>
          <w:bCs/>
          <w:lang w:val="en-US"/>
        </w:rPr>
        <w:t>Funding</w:t>
      </w:r>
    </w:p>
    <w:p w14:paraId="4744BA10" w14:textId="77777777" w:rsidR="00246898" w:rsidRDefault="00246898" w:rsidP="005F7B50">
      <w:pPr>
        <w:pStyle w:val="ListParagraph"/>
        <w:jc w:val="both"/>
        <w:rPr>
          <w:lang w:val="en-US"/>
        </w:rPr>
      </w:pPr>
    </w:p>
    <w:p w14:paraId="61F1A56C" w14:textId="77777777" w:rsidR="00246898" w:rsidRDefault="008B5C6E" w:rsidP="005F7B50">
      <w:pPr>
        <w:pStyle w:val="ListParagraph"/>
        <w:jc w:val="both"/>
        <w:rPr>
          <w:lang w:val="en-US"/>
        </w:rPr>
      </w:pPr>
      <w:r w:rsidRPr="00246898">
        <w:rPr>
          <w:lang w:val="en-US"/>
        </w:rPr>
        <w:t xml:space="preserve">The Institute has a </w:t>
      </w:r>
      <w:r w:rsidR="00E268B4" w:rsidRPr="00246898">
        <w:rPr>
          <w:lang w:val="en-US"/>
        </w:rPr>
        <w:t>h</w:t>
      </w:r>
      <w:r w:rsidRPr="00246898">
        <w:rPr>
          <w:lang w:val="en-US"/>
        </w:rPr>
        <w:t xml:space="preserve">ybrid </w:t>
      </w:r>
      <w:r w:rsidR="00E268B4" w:rsidRPr="00246898">
        <w:rPr>
          <w:lang w:val="en-US"/>
        </w:rPr>
        <w:t>r</w:t>
      </w:r>
      <w:r w:rsidRPr="00246898">
        <w:rPr>
          <w:lang w:val="en-US"/>
        </w:rPr>
        <w:t xml:space="preserve">evenue </w:t>
      </w:r>
      <w:r w:rsidR="00E268B4" w:rsidRPr="00246898">
        <w:rPr>
          <w:lang w:val="en-US"/>
        </w:rPr>
        <w:t>m</w:t>
      </w:r>
      <w:r w:rsidRPr="00246898">
        <w:rPr>
          <w:lang w:val="en-US"/>
        </w:rPr>
        <w:t xml:space="preserve">odel consisting of both restricted and unrestricted income. </w:t>
      </w:r>
      <w:r w:rsidR="00246898">
        <w:rPr>
          <w:lang w:val="en-US"/>
        </w:rPr>
        <w:t xml:space="preserve">With the global changes in funding dynamics, we will diversify our funding sources to ensure a 50:50 ratio between restricted and unrestricted funding as an effective way of ensuring organization sustainability in the face of declining donor funding and changing donor priorities. </w:t>
      </w:r>
    </w:p>
    <w:p w14:paraId="3A18E40B" w14:textId="0895D62A" w:rsidR="00A40CEA" w:rsidRDefault="00A40CEA" w:rsidP="005F7B50">
      <w:pPr>
        <w:pStyle w:val="ListParagraph"/>
        <w:jc w:val="both"/>
        <w:rPr>
          <w:lang w:val="en-US"/>
        </w:rPr>
      </w:pPr>
    </w:p>
    <w:p w14:paraId="3C468EBD" w14:textId="20EC09C1" w:rsidR="00A40CEA" w:rsidRDefault="00A40CEA" w:rsidP="005F7B50">
      <w:pPr>
        <w:pStyle w:val="ListParagraph"/>
        <w:jc w:val="both"/>
        <w:rPr>
          <w:lang w:val="en-US"/>
        </w:rPr>
      </w:pPr>
      <w:r>
        <w:rPr>
          <w:lang w:val="en-US"/>
        </w:rPr>
        <w:t xml:space="preserve">Over the years, IPF has received grant support from NGOs and private foundations. The main funders have included, OXFAM, Bill and Melinda Gates Foundation, Hewlett Foundation, Ford Foundation, Japanese International Corporation Agency, and the Kenya Community Development Foundation.  To </w:t>
      </w:r>
      <w:r w:rsidR="000623C7">
        <w:rPr>
          <w:lang w:val="en-US"/>
        </w:rPr>
        <w:t>strengthen</w:t>
      </w:r>
      <w:r>
        <w:rPr>
          <w:lang w:val="en-US"/>
        </w:rPr>
        <w:t xml:space="preserve"> </w:t>
      </w:r>
      <w:r w:rsidR="000623C7">
        <w:rPr>
          <w:lang w:val="en-US"/>
        </w:rPr>
        <w:t xml:space="preserve">sustainability of our functions, </w:t>
      </w:r>
      <w:r>
        <w:rPr>
          <w:lang w:val="en-US"/>
        </w:rPr>
        <w:t xml:space="preserve">we will </w:t>
      </w:r>
      <w:r w:rsidR="009D653A">
        <w:rPr>
          <w:lang w:val="en-US"/>
        </w:rPr>
        <w:t xml:space="preserve">strengthen our </w:t>
      </w:r>
      <w:r w:rsidR="003172FF">
        <w:rPr>
          <w:lang w:val="en-US"/>
        </w:rPr>
        <w:t>partnerships with</w:t>
      </w:r>
      <w:r w:rsidR="000623C7">
        <w:rPr>
          <w:lang w:val="en-US"/>
        </w:rPr>
        <w:t xml:space="preserve"> the current and potential funders through continuous dialogue and</w:t>
      </w:r>
      <w:r w:rsidR="007D000D">
        <w:rPr>
          <w:lang w:val="en-US"/>
        </w:rPr>
        <w:t xml:space="preserve"> building rapport by providing periodic updates that</w:t>
      </w:r>
      <w:r w:rsidR="000623C7">
        <w:rPr>
          <w:lang w:val="en-US"/>
        </w:rPr>
        <w:t xml:space="preserve"> illustrate the impact of our work. </w:t>
      </w:r>
      <w:r w:rsidR="009513F9">
        <w:rPr>
          <w:lang w:val="en-US"/>
        </w:rPr>
        <w:t xml:space="preserve">As we continue to engage our traditional funders, we will also pursue new partnership models, like </w:t>
      </w:r>
      <w:r w:rsidR="007D000D">
        <w:rPr>
          <w:lang w:val="en-US"/>
        </w:rPr>
        <w:t xml:space="preserve">bilateral </w:t>
      </w:r>
      <w:r w:rsidR="009513F9">
        <w:rPr>
          <w:lang w:val="en-US"/>
        </w:rPr>
        <w:t>opportunities with governments and international agencies.  We will remain innovative and adaptive to the changes in the funding landscape and emerging opportunities to ensure growth and sustainability</w:t>
      </w:r>
      <w:r w:rsidR="004F70C6">
        <w:rPr>
          <w:lang w:val="en-US"/>
        </w:rPr>
        <w:t xml:space="preserve"> of our work.</w:t>
      </w:r>
    </w:p>
    <w:p w14:paraId="21E2B031" w14:textId="77777777" w:rsidR="00246898" w:rsidRDefault="00246898" w:rsidP="005F7B50">
      <w:pPr>
        <w:pStyle w:val="ListParagraph"/>
        <w:jc w:val="both"/>
        <w:rPr>
          <w:lang w:val="en-US"/>
        </w:rPr>
      </w:pPr>
    </w:p>
    <w:p w14:paraId="5A1EE862" w14:textId="77777777" w:rsidR="008B5C6E" w:rsidRDefault="008B5C6E" w:rsidP="005F7B50">
      <w:pPr>
        <w:pStyle w:val="ListParagraph"/>
        <w:jc w:val="both"/>
        <w:rPr>
          <w:lang w:val="en-US"/>
        </w:rPr>
      </w:pPr>
    </w:p>
    <w:p w14:paraId="334D917E" w14:textId="1EF86026" w:rsidR="00246898" w:rsidRPr="009079B2" w:rsidDel="00246898" w:rsidRDefault="00246898" w:rsidP="005F7B50">
      <w:pPr>
        <w:pStyle w:val="ListParagraph"/>
        <w:jc w:val="both"/>
        <w:rPr>
          <w:b/>
          <w:bCs/>
          <w:lang w:val="en-US"/>
        </w:rPr>
      </w:pPr>
      <w:r w:rsidRPr="009079B2">
        <w:rPr>
          <w:b/>
          <w:bCs/>
          <w:lang w:val="en-US"/>
        </w:rPr>
        <w:t xml:space="preserve">Human </w:t>
      </w:r>
      <w:r w:rsidR="0096058A">
        <w:rPr>
          <w:b/>
          <w:bCs/>
          <w:lang w:val="en-US"/>
        </w:rPr>
        <w:t>Resources</w:t>
      </w:r>
    </w:p>
    <w:p w14:paraId="4852B69A" w14:textId="77777777" w:rsidR="008F5549" w:rsidRPr="008F5549" w:rsidRDefault="008F5549" w:rsidP="005F7B50">
      <w:pPr>
        <w:pStyle w:val="ListParagraph"/>
        <w:jc w:val="both"/>
        <w:rPr>
          <w:lang w:val="en-US"/>
        </w:rPr>
      </w:pPr>
    </w:p>
    <w:p w14:paraId="6E0ACFAF" w14:textId="58F630E8" w:rsidR="0091669A" w:rsidRPr="00246898" w:rsidRDefault="0091669A" w:rsidP="005F7B50">
      <w:pPr>
        <w:ind w:left="720"/>
        <w:jc w:val="both"/>
        <w:rPr>
          <w:lang w:val="en-US"/>
        </w:rPr>
      </w:pPr>
      <w:r w:rsidRPr="00246898">
        <w:rPr>
          <w:lang w:val="en-US"/>
        </w:rPr>
        <w:t>IPF faces a variety of capacity gaps and has also struggled to identify suitable candidates on the market to fill these gaps</w:t>
      </w:r>
      <w:r w:rsidR="00860392" w:rsidRPr="00246898">
        <w:rPr>
          <w:lang w:val="en-US"/>
        </w:rPr>
        <w:t>. A persistent problem for PFM practitioners globally, and particularly in Africa, is lack of proper training.  PFM is essentially an interdisciplinary field that brings together divergent specializations such as law, public policy, accounting, economics, sociology, anthropology, and political science.  Much of what practitioners “know” is built through practical experience in government or private sector, and not through formal education.</w:t>
      </w:r>
      <w:r w:rsidR="00246898">
        <w:rPr>
          <w:lang w:val="en-US"/>
        </w:rPr>
        <w:t xml:space="preserve">  </w:t>
      </w:r>
      <w:r w:rsidR="00246898" w:rsidRPr="00246898">
        <w:rPr>
          <w:lang w:val="en-US"/>
        </w:rPr>
        <w:t xml:space="preserve">The most effective employees </w:t>
      </w:r>
      <w:r w:rsidR="00246898">
        <w:rPr>
          <w:lang w:val="en-US"/>
        </w:rPr>
        <w:t>are</w:t>
      </w:r>
      <w:r w:rsidR="00246898" w:rsidRPr="00246898">
        <w:rPr>
          <w:lang w:val="en-US"/>
        </w:rPr>
        <w:t xml:space="preserve"> those who bring a certain set of experiences and attitudes to the organization but are also able to grow within it through exposure to on-the-job opportunities and organized professional development.</w:t>
      </w:r>
    </w:p>
    <w:p w14:paraId="6F435543" w14:textId="4EA2DD4B" w:rsidR="0091669A" w:rsidRDefault="00246898" w:rsidP="005F7B50">
      <w:pPr>
        <w:pStyle w:val="ListParagraph"/>
        <w:jc w:val="both"/>
        <w:rPr>
          <w:lang w:val="en-US"/>
        </w:rPr>
      </w:pPr>
      <w:r>
        <w:rPr>
          <w:lang w:val="en-US"/>
        </w:rPr>
        <w:t xml:space="preserve">With this in mind, we have already started to pioneer new approaches to professional development within IPF.  Over the last year, we have organized internal capacity building around writing and public speaking.  Our Senior Technical Advisor provides continuous mentoring and quality control on our written </w:t>
      </w:r>
      <w:r w:rsidR="0021154D">
        <w:rPr>
          <w:lang w:val="en-US"/>
        </w:rPr>
        <w:t>products and</w:t>
      </w:r>
      <w:r>
        <w:rPr>
          <w:lang w:val="en-US"/>
        </w:rPr>
        <w:t xml:space="preserve"> works closely with a subset of staff to improve their research, </w:t>
      </w:r>
      <w:proofErr w:type="gramStart"/>
      <w:r>
        <w:rPr>
          <w:lang w:val="en-US"/>
        </w:rPr>
        <w:t>analysis</w:t>
      </w:r>
      <w:proofErr w:type="gramEnd"/>
      <w:r>
        <w:rPr>
          <w:lang w:val="en-US"/>
        </w:rPr>
        <w:t xml:space="preserve"> and communication skills. </w:t>
      </w:r>
    </w:p>
    <w:p w14:paraId="274D52B6" w14:textId="46B799D7" w:rsidR="00CA6EB3" w:rsidRPr="003172FF" w:rsidRDefault="00246898" w:rsidP="003172FF">
      <w:pPr>
        <w:ind w:left="720"/>
        <w:jc w:val="both"/>
        <w:rPr>
          <w:lang w:val="en-US"/>
        </w:rPr>
      </w:pPr>
      <w:r>
        <w:rPr>
          <w:lang w:val="en-US"/>
        </w:rPr>
        <w:t>We will continue to expand our approach to p</w:t>
      </w:r>
      <w:r w:rsidR="00D42DE7" w:rsidRPr="00246898">
        <w:rPr>
          <w:lang w:val="en-US"/>
        </w:rPr>
        <w:t xml:space="preserve">rofessional development </w:t>
      </w:r>
      <w:r>
        <w:rPr>
          <w:lang w:val="en-US"/>
        </w:rPr>
        <w:t xml:space="preserve">in the coming years.  </w:t>
      </w:r>
      <w:r w:rsidR="00D42DE7" w:rsidRPr="00246898">
        <w:rPr>
          <w:lang w:val="en-US"/>
        </w:rPr>
        <w:t xml:space="preserve">  The centerpiece of </w:t>
      </w:r>
      <w:r>
        <w:rPr>
          <w:lang w:val="en-US"/>
        </w:rPr>
        <w:t>our new</w:t>
      </w:r>
      <w:r w:rsidR="00D42DE7" w:rsidRPr="00246898">
        <w:rPr>
          <w:lang w:val="en-US"/>
        </w:rPr>
        <w:t xml:space="preserve"> strategy is the </w:t>
      </w:r>
      <w:r>
        <w:rPr>
          <w:lang w:val="en-US"/>
        </w:rPr>
        <w:t>L</w:t>
      </w:r>
      <w:r w:rsidR="00D42DE7" w:rsidRPr="00246898">
        <w:rPr>
          <w:lang w:val="en-US"/>
        </w:rPr>
        <w:t xml:space="preserve">earning </w:t>
      </w:r>
      <w:r>
        <w:rPr>
          <w:lang w:val="en-US"/>
        </w:rPr>
        <w:t>J</w:t>
      </w:r>
      <w:r w:rsidR="00D42DE7" w:rsidRPr="00246898">
        <w:rPr>
          <w:lang w:val="en-US"/>
        </w:rPr>
        <w:t xml:space="preserve">ourney for each staff member.  A learning journey is based on a capacity assessment, but incorporates shared goals for a staff member’s development, as agreed and recognized by the supervisor(s).  </w:t>
      </w:r>
      <w:r>
        <w:rPr>
          <w:lang w:val="en-US"/>
        </w:rPr>
        <w:t>It is incorporated into our performance monitoring system, but it centers the individual staff member’s own annual goals and longer-term career aspirations.</w:t>
      </w:r>
    </w:p>
    <w:p w14:paraId="290361E9" w14:textId="10DDEE71" w:rsidR="00B600BC" w:rsidRPr="004110A4" w:rsidRDefault="00B600BC" w:rsidP="005F7B50">
      <w:pPr>
        <w:jc w:val="both"/>
        <w:rPr>
          <w:lang w:val="en-US"/>
        </w:rPr>
      </w:pPr>
    </w:p>
    <w:sectPr w:rsidR="00B600BC" w:rsidRPr="004110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ECF3" w14:textId="77777777" w:rsidR="004D5EE9" w:rsidRDefault="004D5EE9" w:rsidP="0050373F">
      <w:pPr>
        <w:spacing w:after="0" w:line="240" w:lineRule="auto"/>
      </w:pPr>
      <w:r>
        <w:separator/>
      </w:r>
    </w:p>
  </w:endnote>
  <w:endnote w:type="continuationSeparator" w:id="0">
    <w:p w14:paraId="39AA90C8" w14:textId="77777777" w:rsidR="004D5EE9" w:rsidRDefault="004D5EE9" w:rsidP="0050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7EB7" w14:textId="77777777" w:rsidR="004D5EE9" w:rsidRDefault="004D5EE9" w:rsidP="0050373F">
      <w:pPr>
        <w:spacing w:after="0" w:line="240" w:lineRule="auto"/>
      </w:pPr>
      <w:r>
        <w:separator/>
      </w:r>
    </w:p>
  </w:footnote>
  <w:footnote w:type="continuationSeparator" w:id="0">
    <w:p w14:paraId="1F39A20D" w14:textId="77777777" w:rsidR="004D5EE9" w:rsidRDefault="004D5EE9" w:rsidP="00503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101"/>
    <w:multiLevelType w:val="hybridMultilevel"/>
    <w:tmpl w:val="1B98EC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C301E1"/>
    <w:multiLevelType w:val="hybridMultilevel"/>
    <w:tmpl w:val="95C40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7F114A"/>
    <w:multiLevelType w:val="hybridMultilevel"/>
    <w:tmpl w:val="D39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E27B1"/>
    <w:multiLevelType w:val="hybridMultilevel"/>
    <w:tmpl w:val="B5C4A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CBD2ACD"/>
    <w:multiLevelType w:val="hybridMultilevel"/>
    <w:tmpl w:val="8228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D04D0"/>
    <w:multiLevelType w:val="hybridMultilevel"/>
    <w:tmpl w:val="B538A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F76FC3"/>
    <w:multiLevelType w:val="hybridMultilevel"/>
    <w:tmpl w:val="C974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5634A"/>
    <w:multiLevelType w:val="hybridMultilevel"/>
    <w:tmpl w:val="9328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E3B91"/>
    <w:multiLevelType w:val="hybridMultilevel"/>
    <w:tmpl w:val="B02ACC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8B2331"/>
    <w:multiLevelType w:val="hybridMultilevel"/>
    <w:tmpl w:val="356E05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3300363">
    <w:abstractNumId w:val="8"/>
  </w:num>
  <w:num w:numId="2" w16cid:durableId="24454294">
    <w:abstractNumId w:val="5"/>
  </w:num>
  <w:num w:numId="3" w16cid:durableId="1458526076">
    <w:abstractNumId w:val="1"/>
  </w:num>
  <w:num w:numId="4" w16cid:durableId="41223171">
    <w:abstractNumId w:val="0"/>
  </w:num>
  <w:num w:numId="5" w16cid:durableId="1076899716">
    <w:abstractNumId w:val="9"/>
  </w:num>
  <w:num w:numId="6" w16cid:durableId="379792457">
    <w:abstractNumId w:val="3"/>
  </w:num>
  <w:num w:numId="7" w16cid:durableId="1522234669">
    <w:abstractNumId w:val="2"/>
  </w:num>
  <w:num w:numId="8" w16cid:durableId="1854612726">
    <w:abstractNumId w:val="4"/>
  </w:num>
  <w:num w:numId="9" w16cid:durableId="2098363662">
    <w:abstractNumId w:val="7"/>
  </w:num>
  <w:num w:numId="10" w16cid:durableId="651565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D2"/>
    <w:rsid w:val="000124D0"/>
    <w:rsid w:val="00016D24"/>
    <w:rsid w:val="00022580"/>
    <w:rsid w:val="00027F35"/>
    <w:rsid w:val="00032179"/>
    <w:rsid w:val="00034820"/>
    <w:rsid w:val="00041703"/>
    <w:rsid w:val="00054091"/>
    <w:rsid w:val="000557B8"/>
    <w:rsid w:val="000623C7"/>
    <w:rsid w:val="0008205A"/>
    <w:rsid w:val="0008659C"/>
    <w:rsid w:val="00094527"/>
    <w:rsid w:val="000948D7"/>
    <w:rsid w:val="000A4E55"/>
    <w:rsid w:val="000A55B4"/>
    <w:rsid w:val="000B54E9"/>
    <w:rsid w:val="000B5B58"/>
    <w:rsid w:val="000B6F18"/>
    <w:rsid w:val="000B7FF6"/>
    <w:rsid w:val="000D094D"/>
    <w:rsid w:val="000D2B69"/>
    <w:rsid w:val="001206D7"/>
    <w:rsid w:val="00124699"/>
    <w:rsid w:val="0014080F"/>
    <w:rsid w:val="00142F57"/>
    <w:rsid w:val="0014325F"/>
    <w:rsid w:val="00157652"/>
    <w:rsid w:val="00164FA8"/>
    <w:rsid w:val="0017779A"/>
    <w:rsid w:val="001966C0"/>
    <w:rsid w:val="001B17D1"/>
    <w:rsid w:val="001E08B5"/>
    <w:rsid w:val="00201B3C"/>
    <w:rsid w:val="0021154D"/>
    <w:rsid w:val="00213EA5"/>
    <w:rsid w:val="0022279F"/>
    <w:rsid w:val="00230F08"/>
    <w:rsid w:val="00235484"/>
    <w:rsid w:val="00246898"/>
    <w:rsid w:val="002519FD"/>
    <w:rsid w:val="00251BFC"/>
    <w:rsid w:val="00256A4B"/>
    <w:rsid w:val="002A1907"/>
    <w:rsid w:val="002A553B"/>
    <w:rsid w:val="002B6879"/>
    <w:rsid w:val="002C1CEA"/>
    <w:rsid w:val="002C74CF"/>
    <w:rsid w:val="002F06F1"/>
    <w:rsid w:val="003113A7"/>
    <w:rsid w:val="003172FF"/>
    <w:rsid w:val="003209BD"/>
    <w:rsid w:val="003457BB"/>
    <w:rsid w:val="00345A36"/>
    <w:rsid w:val="003475B8"/>
    <w:rsid w:val="00354799"/>
    <w:rsid w:val="003755AB"/>
    <w:rsid w:val="003851E8"/>
    <w:rsid w:val="00392C78"/>
    <w:rsid w:val="00394F84"/>
    <w:rsid w:val="003A2F5D"/>
    <w:rsid w:val="003B104D"/>
    <w:rsid w:val="003B1A23"/>
    <w:rsid w:val="003B6033"/>
    <w:rsid w:val="003B60F7"/>
    <w:rsid w:val="003C0B7F"/>
    <w:rsid w:val="003D26FE"/>
    <w:rsid w:val="003D28A8"/>
    <w:rsid w:val="003F0052"/>
    <w:rsid w:val="003F663B"/>
    <w:rsid w:val="004011D2"/>
    <w:rsid w:val="00406A37"/>
    <w:rsid w:val="004110A4"/>
    <w:rsid w:val="004169C9"/>
    <w:rsid w:val="00431B97"/>
    <w:rsid w:val="00462C3E"/>
    <w:rsid w:val="00477A9F"/>
    <w:rsid w:val="00484431"/>
    <w:rsid w:val="004850BA"/>
    <w:rsid w:val="004926E7"/>
    <w:rsid w:val="00493A22"/>
    <w:rsid w:val="004975FF"/>
    <w:rsid w:val="004A06C1"/>
    <w:rsid w:val="004A2CC7"/>
    <w:rsid w:val="004A74CD"/>
    <w:rsid w:val="004B0043"/>
    <w:rsid w:val="004B724F"/>
    <w:rsid w:val="004C6613"/>
    <w:rsid w:val="004C6BE6"/>
    <w:rsid w:val="004D5EE9"/>
    <w:rsid w:val="004E4711"/>
    <w:rsid w:val="004F2730"/>
    <w:rsid w:val="004F70C6"/>
    <w:rsid w:val="0050373F"/>
    <w:rsid w:val="005069CD"/>
    <w:rsid w:val="00507667"/>
    <w:rsid w:val="00510392"/>
    <w:rsid w:val="00510C56"/>
    <w:rsid w:val="00512A63"/>
    <w:rsid w:val="00535150"/>
    <w:rsid w:val="00536C4F"/>
    <w:rsid w:val="00537C22"/>
    <w:rsid w:val="0054698C"/>
    <w:rsid w:val="005579DB"/>
    <w:rsid w:val="0056627F"/>
    <w:rsid w:val="005719CC"/>
    <w:rsid w:val="00572429"/>
    <w:rsid w:val="00573D13"/>
    <w:rsid w:val="005774F8"/>
    <w:rsid w:val="00582D56"/>
    <w:rsid w:val="00590F5E"/>
    <w:rsid w:val="005A6D66"/>
    <w:rsid w:val="005A6F5D"/>
    <w:rsid w:val="005B0596"/>
    <w:rsid w:val="005B1A3C"/>
    <w:rsid w:val="005D227C"/>
    <w:rsid w:val="005E367A"/>
    <w:rsid w:val="005E4767"/>
    <w:rsid w:val="005E4E2A"/>
    <w:rsid w:val="005E5360"/>
    <w:rsid w:val="005F7B50"/>
    <w:rsid w:val="006016E5"/>
    <w:rsid w:val="00611A3A"/>
    <w:rsid w:val="00655188"/>
    <w:rsid w:val="00656360"/>
    <w:rsid w:val="006638D2"/>
    <w:rsid w:val="00667486"/>
    <w:rsid w:val="006743FF"/>
    <w:rsid w:val="00683795"/>
    <w:rsid w:val="00684C0B"/>
    <w:rsid w:val="006B2F02"/>
    <w:rsid w:val="006B499C"/>
    <w:rsid w:val="006B6738"/>
    <w:rsid w:val="006C3A88"/>
    <w:rsid w:val="006C67F4"/>
    <w:rsid w:val="006C6F7A"/>
    <w:rsid w:val="006E79D3"/>
    <w:rsid w:val="006F10E6"/>
    <w:rsid w:val="007078DD"/>
    <w:rsid w:val="00711717"/>
    <w:rsid w:val="00712A15"/>
    <w:rsid w:val="00715173"/>
    <w:rsid w:val="00721483"/>
    <w:rsid w:val="0072336B"/>
    <w:rsid w:val="00724DB0"/>
    <w:rsid w:val="007657CF"/>
    <w:rsid w:val="00773289"/>
    <w:rsid w:val="00776489"/>
    <w:rsid w:val="007C1821"/>
    <w:rsid w:val="007C5735"/>
    <w:rsid w:val="007D000D"/>
    <w:rsid w:val="007D71DE"/>
    <w:rsid w:val="007E0EF5"/>
    <w:rsid w:val="007F5208"/>
    <w:rsid w:val="00805E3E"/>
    <w:rsid w:val="00806AE6"/>
    <w:rsid w:val="0081049B"/>
    <w:rsid w:val="00810CD7"/>
    <w:rsid w:val="00811E86"/>
    <w:rsid w:val="0082488A"/>
    <w:rsid w:val="00840105"/>
    <w:rsid w:val="00845366"/>
    <w:rsid w:val="00860392"/>
    <w:rsid w:val="00860C24"/>
    <w:rsid w:val="008733F4"/>
    <w:rsid w:val="00876CEF"/>
    <w:rsid w:val="00880C6A"/>
    <w:rsid w:val="00893010"/>
    <w:rsid w:val="008A6283"/>
    <w:rsid w:val="008B42AA"/>
    <w:rsid w:val="008B59A8"/>
    <w:rsid w:val="008B5C6E"/>
    <w:rsid w:val="008C02BD"/>
    <w:rsid w:val="008C3463"/>
    <w:rsid w:val="008C7363"/>
    <w:rsid w:val="008E4261"/>
    <w:rsid w:val="008E7F5F"/>
    <w:rsid w:val="008F3C4A"/>
    <w:rsid w:val="008F5549"/>
    <w:rsid w:val="0090184D"/>
    <w:rsid w:val="009036D9"/>
    <w:rsid w:val="009079B2"/>
    <w:rsid w:val="0091669A"/>
    <w:rsid w:val="009328A1"/>
    <w:rsid w:val="00933380"/>
    <w:rsid w:val="00936CA8"/>
    <w:rsid w:val="00941BDB"/>
    <w:rsid w:val="009513F9"/>
    <w:rsid w:val="00951ADE"/>
    <w:rsid w:val="0096058A"/>
    <w:rsid w:val="00963044"/>
    <w:rsid w:val="009648E2"/>
    <w:rsid w:val="009777B7"/>
    <w:rsid w:val="00986EEE"/>
    <w:rsid w:val="00997B6B"/>
    <w:rsid w:val="009A586F"/>
    <w:rsid w:val="009A6B37"/>
    <w:rsid w:val="009B2C21"/>
    <w:rsid w:val="009D653A"/>
    <w:rsid w:val="009E0355"/>
    <w:rsid w:val="009E7C86"/>
    <w:rsid w:val="009F189E"/>
    <w:rsid w:val="009F35B4"/>
    <w:rsid w:val="009F6AFB"/>
    <w:rsid w:val="00A011C4"/>
    <w:rsid w:val="00A15540"/>
    <w:rsid w:val="00A17933"/>
    <w:rsid w:val="00A22752"/>
    <w:rsid w:val="00A25F88"/>
    <w:rsid w:val="00A33837"/>
    <w:rsid w:val="00A35E5F"/>
    <w:rsid w:val="00A36E2B"/>
    <w:rsid w:val="00A40CEA"/>
    <w:rsid w:val="00A42BEE"/>
    <w:rsid w:val="00A57ABF"/>
    <w:rsid w:val="00A6023C"/>
    <w:rsid w:val="00A91930"/>
    <w:rsid w:val="00AA0207"/>
    <w:rsid w:val="00AB0105"/>
    <w:rsid w:val="00AB38F1"/>
    <w:rsid w:val="00AB597C"/>
    <w:rsid w:val="00AC34EA"/>
    <w:rsid w:val="00AC650D"/>
    <w:rsid w:val="00AE25E4"/>
    <w:rsid w:val="00AF1247"/>
    <w:rsid w:val="00AF1416"/>
    <w:rsid w:val="00AF28E6"/>
    <w:rsid w:val="00B31E6E"/>
    <w:rsid w:val="00B42B08"/>
    <w:rsid w:val="00B478CB"/>
    <w:rsid w:val="00B600BC"/>
    <w:rsid w:val="00B67035"/>
    <w:rsid w:val="00B7139A"/>
    <w:rsid w:val="00B71564"/>
    <w:rsid w:val="00B92D4F"/>
    <w:rsid w:val="00BA001C"/>
    <w:rsid w:val="00BB6CAC"/>
    <w:rsid w:val="00BC6DFE"/>
    <w:rsid w:val="00BC6F85"/>
    <w:rsid w:val="00BE5A9F"/>
    <w:rsid w:val="00BE7293"/>
    <w:rsid w:val="00C01F20"/>
    <w:rsid w:val="00C07D61"/>
    <w:rsid w:val="00C110A6"/>
    <w:rsid w:val="00C21241"/>
    <w:rsid w:val="00C25A4D"/>
    <w:rsid w:val="00C378FB"/>
    <w:rsid w:val="00C47A43"/>
    <w:rsid w:val="00C51F77"/>
    <w:rsid w:val="00C53DDA"/>
    <w:rsid w:val="00C62901"/>
    <w:rsid w:val="00C644E8"/>
    <w:rsid w:val="00C82F15"/>
    <w:rsid w:val="00CA69A3"/>
    <w:rsid w:val="00CA6EB3"/>
    <w:rsid w:val="00CA73B7"/>
    <w:rsid w:val="00CD5BE2"/>
    <w:rsid w:val="00D03C0D"/>
    <w:rsid w:val="00D21657"/>
    <w:rsid w:val="00D422D9"/>
    <w:rsid w:val="00D42DE7"/>
    <w:rsid w:val="00D44050"/>
    <w:rsid w:val="00D62095"/>
    <w:rsid w:val="00D63A18"/>
    <w:rsid w:val="00D80EE2"/>
    <w:rsid w:val="00D84A61"/>
    <w:rsid w:val="00D94120"/>
    <w:rsid w:val="00D95C51"/>
    <w:rsid w:val="00DC016F"/>
    <w:rsid w:val="00DC0BF1"/>
    <w:rsid w:val="00DD3E31"/>
    <w:rsid w:val="00DF1E7E"/>
    <w:rsid w:val="00DF2EBF"/>
    <w:rsid w:val="00DF7EC8"/>
    <w:rsid w:val="00E17C6C"/>
    <w:rsid w:val="00E268B4"/>
    <w:rsid w:val="00E33017"/>
    <w:rsid w:val="00E3764A"/>
    <w:rsid w:val="00E4053A"/>
    <w:rsid w:val="00E413E0"/>
    <w:rsid w:val="00E52E4B"/>
    <w:rsid w:val="00E63864"/>
    <w:rsid w:val="00E66D0D"/>
    <w:rsid w:val="00E76834"/>
    <w:rsid w:val="00E824F8"/>
    <w:rsid w:val="00E96D7A"/>
    <w:rsid w:val="00EA3DE3"/>
    <w:rsid w:val="00EB1146"/>
    <w:rsid w:val="00EB6D17"/>
    <w:rsid w:val="00EC2FC7"/>
    <w:rsid w:val="00EC662F"/>
    <w:rsid w:val="00ED34E5"/>
    <w:rsid w:val="00ED54B8"/>
    <w:rsid w:val="00EE062C"/>
    <w:rsid w:val="00EE6436"/>
    <w:rsid w:val="00F04BB7"/>
    <w:rsid w:val="00F11645"/>
    <w:rsid w:val="00F116F3"/>
    <w:rsid w:val="00F15DC8"/>
    <w:rsid w:val="00F33480"/>
    <w:rsid w:val="00F442CF"/>
    <w:rsid w:val="00F46246"/>
    <w:rsid w:val="00F50ADC"/>
    <w:rsid w:val="00F62DF2"/>
    <w:rsid w:val="00F87F65"/>
    <w:rsid w:val="00F914FD"/>
    <w:rsid w:val="00F94B56"/>
    <w:rsid w:val="00FA4197"/>
    <w:rsid w:val="00FB3228"/>
    <w:rsid w:val="00FB5D31"/>
    <w:rsid w:val="00FB62C0"/>
    <w:rsid w:val="00FC04EF"/>
    <w:rsid w:val="00FC0906"/>
    <w:rsid w:val="00FC357F"/>
    <w:rsid w:val="00FD2A8D"/>
    <w:rsid w:val="00FD6734"/>
    <w:rsid w:val="00FF1042"/>
    <w:rsid w:val="00FF40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BD1D"/>
  <w15:docId w15:val="{E138C300-87C6-46BF-B805-07ECF772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7A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E5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B6CAC"/>
    <w:rPr>
      <w:sz w:val="16"/>
      <w:szCs w:val="16"/>
    </w:rPr>
  </w:style>
  <w:style w:type="paragraph" w:styleId="CommentText">
    <w:name w:val="annotation text"/>
    <w:basedOn w:val="Normal"/>
    <w:link w:val="CommentTextChar"/>
    <w:uiPriority w:val="99"/>
    <w:unhideWhenUsed/>
    <w:rsid w:val="00BB6CAC"/>
    <w:pPr>
      <w:spacing w:line="240" w:lineRule="auto"/>
    </w:pPr>
    <w:rPr>
      <w:sz w:val="20"/>
      <w:szCs w:val="20"/>
    </w:rPr>
  </w:style>
  <w:style w:type="character" w:customStyle="1" w:styleId="CommentTextChar">
    <w:name w:val="Comment Text Char"/>
    <w:basedOn w:val="DefaultParagraphFont"/>
    <w:link w:val="CommentText"/>
    <w:uiPriority w:val="99"/>
    <w:rsid w:val="00BB6CAC"/>
    <w:rPr>
      <w:sz w:val="20"/>
      <w:szCs w:val="20"/>
    </w:rPr>
  </w:style>
  <w:style w:type="paragraph" w:styleId="CommentSubject">
    <w:name w:val="annotation subject"/>
    <w:basedOn w:val="CommentText"/>
    <w:next w:val="CommentText"/>
    <w:link w:val="CommentSubjectChar"/>
    <w:uiPriority w:val="99"/>
    <w:semiHidden/>
    <w:unhideWhenUsed/>
    <w:rsid w:val="00BB6CAC"/>
    <w:rPr>
      <w:b/>
      <w:bCs/>
    </w:rPr>
  </w:style>
  <w:style w:type="character" w:customStyle="1" w:styleId="CommentSubjectChar">
    <w:name w:val="Comment Subject Char"/>
    <w:basedOn w:val="CommentTextChar"/>
    <w:link w:val="CommentSubject"/>
    <w:uiPriority w:val="99"/>
    <w:semiHidden/>
    <w:rsid w:val="00BB6CAC"/>
    <w:rPr>
      <w:b/>
      <w:bCs/>
      <w:sz w:val="20"/>
      <w:szCs w:val="20"/>
    </w:rPr>
  </w:style>
  <w:style w:type="paragraph" w:styleId="ListParagraph">
    <w:name w:val="List Paragraph"/>
    <w:aliases w:val="Normal List,Bullet List,FooterText,List Paragraph1"/>
    <w:basedOn w:val="Normal"/>
    <w:link w:val="ListParagraphChar"/>
    <w:uiPriority w:val="34"/>
    <w:qFormat/>
    <w:rsid w:val="00C25A4D"/>
    <w:pPr>
      <w:ind w:left="720"/>
      <w:contextualSpacing/>
    </w:pPr>
  </w:style>
  <w:style w:type="character" w:customStyle="1" w:styleId="Heading2Char">
    <w:name w:val="Heading 2 Char"/>
    <w:basedOn w:val="DefaultParagraphFont"/>
    <w:link w:val="Heading2"/>
    <w:uiPriority w:val="9"/>
    <w:rsid w:val="00477A9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63044"/>
    <w:pPr>
      <w:outlineLvl w:val="9"/>
    </w:pPr>
    <w:rPr>
      <w:kern w:val="0"/>
      <w:lang w:val="en-US"/>
      <w14:ligatures w14:val="none"/>
    </w:rPr>
  </w:style>
  <w:style w:type="paragraph" w:styleId="TOC1">
    <w:name w:val="toc 1"/>
    <w:basedOn w:val="Normal"/>
    <w:next w:val="Normal"/>
    <w:autoRedefine/>
    <w:uiPriority w:val="39"/>
    <w:unhideWhenUsed/>
    <w:rsid w:val="00FD6734"/>
    <w:pPr>
      <w:tabs>
        <w:tab w:val="left" w:pos="440"/>
        <w:tab w:val="right" w:leader="dot" w:pos="9016"/>
      </w:tabs>
      <w:spacing w:after="100"/>
    </w:pPr>
  </w:style>
  <w:style w:type="paragraph" w:styleId="TOC2">
    <w:name w:val="toc 2"/>
    <w:basedOn w:val="Normal"/>
    <w:next w:val="Normal"/>
    <w:autoRedefine/>
    <w:uiPriority w:val="39"/>
    <w:unhideWhenUsed/>
    <w:rsid w:val="00963044"/>
    <w:pPr>
      <w:spacing w:after="100"/>
      <w:ind w:left="220"/>
    </w:pPr>
  </w:style>
  <w:style w:type="character" w:styleId="Hyperlink">
    <w:name w:val="Hyperlink"/>
    <w:basedOn w:val="DefaultParagraphFont"/>
    <w:uiPriority w:val="99"/>
    <w:unhideWhenUsed/>
    <w:rsid w:val="00963044"/>
    <w:rPr>
      <w:color w:val="0563C1" w:themeColor="hyperlink"/>
      <w:u w:val="single"/>
    </w:rPr>
  </w:style>
  <w:style w:type="paragraph" w:styleId="Revision">
    <w:name w:val="Revision"/>
    <w:hidden/>
    <w:uiPriority w:val="99"/>
    <w:semiHidden/>
    <w:rsid w:val="00392C78"/>
    <w:pPr>
      <w:spacing w:after="0" w:line="240" w:lineRule="auto"/>
    </w:pPr>
  </w:style>
  <w:style w:type="paragraph" w:styleId="Header">
    <w:name w:val="header"/>
    <w:basedOn w:val="Normal"/>
    <w:link w:val="HeaderChar"/>
    <w:uiPriority w:val="99"/>
    <w:unhideWhenUsed/>
    <w:rsid w:val="00503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73F"/>
  </w:style>
  <w:style w:type="paragraph" w:styleId="Footer">
    <w:name w:val="footer"/>
    <w:basedOn w:val="Normal"/>
    <w:link w:val="FooterChar"/>
    <w:uiPriority w:val="99"/>
    <w:unhideWhenUsed/>
    <w:rsid w:val="00503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73F"/>
  </w:style>
  <w:style w:type="character" w:customStyle="1" w:styleId="ListParagraphChar">
    <w:name w:val="List Paragraph Char"/>
    <w:aliases w:val="Normal List Char,Bullet List Char,FooterText Char,List Paragraph1 Char"/>
    <w:basedOn w:val="DefaultParagraphFont"/>
    <w:link w:val="ListParagraph"/>
    <w:uiPriority w:val="34"/>
    <w:locked/>
    <w:rsid w:val="00012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lanning.go.ke/wp-content/uploads/2020/11/Comprehensive-Public-Expenditure-Review-201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9113AD-E829-4378-B0A6-E18934113994}">
  <we:reference id="cdbb5c38-15c9-4da0-8eab-5227ff292266" version="3.1.0.0" store="EXCatalog" storeType="EXCatalog"/>
  <we:alternateReferences>
    <we:reference id="WA104380449" version="3.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AAE26-B533-4A57-B073-CFBF2290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10210</Words>
  <Characters>58199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Lakin</dc:creator>
  <cp:keywords/>
  <dc:description/>
  <cp:lastModifiedBy>Lucky Kisaka</cp:lastModifiedBy>
  <cp:revision>2</cp:revision>
  <dcterms:created xsi:type="dcterms:W3CDTF">2023-11-21T11:46:00Z</dcterms:created>
  <dcterms:modified xsi:type="dcterms:W3CDTF">2023-11-21T11:46:00Z</dcterms:modified>
</cp:coreProperties>
</file>